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6326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 xml:space="preserve">AGRAVO DE INSTRUMENTO. </w:t>
      </w:r>
      <w:r>
        <w:t xml:space="preserve">O agravante </w:t>
      </w:r>
      <w:r>
        <w:rPr>
          <w:b/>
        </w:rPr>
        <w:t>requer a reforma</w:t>
      </w:r>
      <w:r>
        <w:t xml:space="preserve"> do despacho do juiz que julgou a nomeação de bens à penhora intempestiva, além de não obedecer a ordem legal. Fundamenta o agravante que o prazo para nomeação de bens começa a partir da juntada do mandado</w:t>
      </w:r>
      <w:r>
        <w:t xml:space="preserve"> aos autos e que os </w:t>
      </w:r>
      <w:r>
        <w:rPr>
          <w:b/>
        </w:rPr>
        <w:t xml:space="preserve">bens nomeados </w:t>
      </w:r>
      <w:r>
        <w:t>pelo</w:t>
      </w:r>
      <w:r>
        <w:t xml:space="preserve"> ora agravado </w:t>
      </w:r>
      <w:r>
        <w:rPr>
          <w:b/>
        </w:rPr>
        <w:t>não</w:t>
      </w:r>
      <w:r>
        <w:t xml:space="preserve"> </w:t>
      </w:r>
      <w:r>
        <w:rPr>
          <w:b/>
        </w:rPr>
        <w:t>pertencem mais ao agravante</w:t>
      </w:r>
      <w:r>
        <w:t>.</w:t>
      </w:r>
    </w:p>
    <w:p w:rsidR="00000000" w:rsidRDefault="00056326">
      <w:pPr>
        <w:jc w:val="both"/>
      </w:pPr>
    </w:p>
    <w:p w:rsidR="00000000" w:rsidRDefault="00056326">
      <w:pPr>
        <w:jc w:val="both"/>
        <w:rPr>
          <w:b/>
        </w:rPr>
      </w:pPr>
      <w:r>
        <w:rPr>
          <w:b/>
        </w:rPr>
        <w:t>EGRÉGIO TRIBUNAL DE ALÇADA DO ESTADO DO ....</w:t>
      </w:r>
    </w:p>
    <w:p w:rsidR="00000000" w:rsidRDefault="00056326">
      <w:pPr>
        <w:jc w:val="both"/>
      </w:pPr>
    </w:p>
    <w:p w:rsidR="00000000" w:rsidRDefault="00056326">
      <w:pPr>
        <w:jc w:val="both"/>
      </w:pPr>
    </w:p>
    <w:p w:rsidR="00000000" w:rsidRDefault="00056326">
      <w:pPr>
        <w:jc w:val="both"/>
      </w:pPr>
    </w:p>
    <w:p w:rsidR="00000000" w:rsidRDefault="00056326">
      <w:pPr>
        <w:jc w:val="both"/>
      </w:pPr>
    </w:p>
    <w:p w:rsidR="00000000" w:rsidRDefault="00056326">
      <w:pPr>
        <w:jc w:val="both"/>
      </w:pPr>
    </w:p>
    <w:p w:rsidR="00000000" w:rsidRDefault="00056326">
      <w:pPr>
        <w:jc w:val="both"/>
      </w:pPr>
    </w:p>
    <w:p w:rsidR="00000000" w:rsidRDefault="00056326">
      <w:pPr>
        <w:jc w:val="both"/>
      </w:pPr>
    </w:p>
    <w:p w:rsidR="00000000" w:rsidRDefault="00056326">
      <w:pPr>
        <w:jc w:val="both"/>
      </w:pPr>
    </w:p>
    <w:p w:rsidR="00000000" w:rsidRDefault="00056326">
      <w:pPr>
        <w:jc w:val="both"/>
      </w:pPr>
    </w:p>
    <w:p w:rsidR="00000000" w:rsidRDefault="00056326">
      <w:pPr>
        <w:jc w:val="both"/>
      </w:pPr>
      <w:r>
        <w:t xml:space="preserve">......................................................, pessoa jurídica de direito privado, com sede na Rua .... nº ...., inscrita no CGC/MF sob nº ...., por seus advogados ao final assinados, procuração ...., com endereço profissional na Rua ...., nº ...., onde recebem intimações e notificações, vem respeitosamente na presença de V. Exa., nos autos da Ação de Execução </w:t>
      </w:r>
      <w:r>
        <w:t>Extrajudicial proposta por ..............................., pessoa jurídica de direito privado, Ag. ...., na Rua .... nº ...., tendo como procurador judicial o Dr. ...., inscrito na OAB sob nº ...., com escritório profissional na Rua .... nº ...., em trâmite perante a ....ª Vara Cível da Comarca de ...., com fulcro no disposto pelo Artigo 522 e seguintes do Código de Processo Civil, interpor</w:t>
      </w:r>
    </w:p>
    <w:p w:rsidR="00000000" w:rsidRDefault="00056326">
      <w:pPr>
        <w:jc w:val="both"/>
      </w:pPr>
    </w:p>
    <w:p w:rsidR="00000000" w:rsidRDefault="00056326">
      <w:pPr>
        <w:jc w:val="both"/>
      </w:pPr>
    </w:p>
    <w:p w:rsidR="00000000" w:rsidRDefault="00056326">
      <w:pPr>
        <w:jc w:val="both"/>
        <w:rPr>
          <w:b/>
        </w:rPr>
      </w:pPr>
      <w:r>
        <w:rPr>
          <w:b/>
        </w:rPr>
        <w:t>AGRAVO DE INSTRUMENTO.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Ao despacho judicial de fls. ...., pelos motivos  fáticos e jurídicos a seguir aduzidos:</w:t>
      </w:r>
    </w:p>
    <w:p w:rsidR="00000000" w:rsidRDefault="00056326">
      <w:pPr>
        <w:jc w:val="both"/>
      </w:pPr>
    </w:p>
    <w:p w:rsidR="00000000" w:rsidRDefault="00056326">
      <w:pPr>
        <w:pStyle w:val="BodyText3"/>
      </w:pPr>
      <w:r>
        <w:t>A</w:t>
      </w:r>
      <w:r>
        <w:t>GRAVO DE INSTRUMENTO NOS AUTOS DA AÇÃO DE EXECUÇÃO EXTRAJUDICIAL Nº ....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Ínclitos Julgadores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A Agravante inconformada com a Decisão Interlocutória, exarada às fls. .... dos autos, o qual não declarou a intempestividade da nomeação à penhora oferecida pela ora Agravante, determinando-se que se efetue a penhora sobre os bens indicados pelo Exequente. Pleiteia a Agravante a revisão do despacho proferido, segundo os motivos fáticos e jurídicos a seguir aduzidos:</w:t>
      </w:r>
    </w:p>
    <w:p w:rsidR="00000000" w:rsidRDefault="00056326">
      <w:pPr>
        <w:jc w:val="both"/>
      </w:pPr>
    </w:p>
    <w:p w:rsidR="00000000" w:rsidRDefault="00056326">
      <w:pPr>
        <w:jc w:val="both"/>
      </w:pPr>
    </w:p>
    <w:p w:rsidR="00000000" w:rsidRDefault="00056326">
      <w:pPr>
        <w:pStyle w:val="Ttulo1"/>
      </w:pPr>
      <w:r>
        <w:t>I - DECISÃO AGRAVADA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O M.M. Juiz a quo profe</w:t>
      </w:r>
      <w:r>
        <w:t>riu o seguinte despacho: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 xml:space="preserve">"Apresentada a nomeação de bens à penhora pela executada, o exequente </w:t>
      </w:r>
      <w:r>
        <w:lastRenderedPageBreak/>
        <w:t>não aceitou a mesma, aduzindo como razões que a mesma nomeação é intempestiva e que não obedeceu a ordem legal. Indica o exequente outros bens da devedora para penhora. Considerando a intempestividade da nomeação, bem como se tratarem de imóveis situados em comarca mais distante, acolhe a impugnação apresentada, determinando que se efetue a penhora sobre os bens indicados pelo exequente."</w:t>
      </w:r>
    </w:p>
    <w:p w:rsidR="00000000" w:rsidRDefault="00056326">
      <w:pPr>
        <w:jc w:val="both"/>
      </w:pPr>
    </w:p>
    <w:p w:rsidR="00000000" w:rsidRDefault="00056326">
      <w:pPr>
        <w:jc w:val="both"/>
      </w:pPr>
    </w:p>
    <w:p w:rsidR="00000000" w:rsidRDefault="00056326">
      <w:pPr>
        <w:pStyle w:val="Ttulo1"/>
      </w:pPr>
      <w:r>
        <w:t>II - DAS RAZÕES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Em qu</w:t>
      </w:r>
      <w:r>
        <w:t>e pese  o louvável saber jurídico do ilustre Prolator da reforma recorrida, esta deve ser reformada, pois põe-se prejudicial para o deslinde da questão.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Em data de .... de .... de .... a Agravante foi citada para que no prazo de 24 horas, efetuasse pagamento ou apresentasse bens passíveis de penhora nos Autos de Execução Extrajudicial proposta pelo Agravado, em trâmite perante à ....ª Vara Cível da Comarca de ....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Em data de .... de .... de ...., a Agravante peticionou junto à D. Vara oferecendo rol de be</w:t>
      </w:r>
      <w:r>
        <w:t>ns para efetivação da penhora, motivo pelo qual o Sr. ...., efetuou a devolução do Mandado de Citação e Penhora no qual fez constar o seguinte certificado: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"Certifico eu, ...., Oficial de Justiça que devolvo o presente mandado a Cartório tendo em vista a parte requerida ter depositado em cartório, petição nomeando bens dentro do prazo previsto em lei."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 xml:space="preserve">Tal certidão foi produzida no verso do referido mandado em data de .... de .... de ...., ou seja, .... dias após a protocolização da petição nomeando bens </w:t>
      </w:r>
      <w:r>
        <w:t>à penhora por parte da Executada (fls. ....).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Entretanto por lapso do Cartório a petição nomeando bens foi juntada em ordem subsequente ao mandado, ou seja: petição fls. ...., entretanto ambos foram juntados em .... de .... de ....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O ora Agravado, apresentou petição na qual alega que a Agravante apresentou seu rol de bens à penhora intempestivamente, afirmando que o mesmo deveria ter sido protocolado no dia .... de ...., ou seja no mesmo dia em que efetivou-se a citação.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Culmina tal entendimento com a se</w:t>
      </w:r>
      <w:r>
        <w:t>guinte afirmação: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"De fato, citados às .... horas do dia .... de .... (fls. ....), os devedores ingressaram com nomeação somente no dia .... (carimbo protocolo do Cartório à fls. ....), tendo o prazo expirado no dia anterior (dia .... foi ....). Assim, não só intempestiva como por não ter obedecido a ordem legal, discorda-se da nomeação e, uma vez devolvido o Direito ao credor (CPC, art. 657, parte final) da própria mutuária ...."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 xml:space="preserve">Tal afirmação é no mínimo irrisória, vez em que se põe em discussão, os </w:t>
      </w:r>
      <w:r>
        <w:lastRenderedPageBreak/>
        <w:t>pil</w:t>
      </w:r>
      <w:r>
        <w:t>ares fundamentais do Direito Processual, ao inobservar-se princípios lógicos e corriqueiros do Diploma Processual.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No mesmo embasamento prestado pelo Agravado, fundamentou-se a decisão judicial ora agravada, inobservando por conseqüência os mesmos princípios basilares da ciência jurídica.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Deve a decisão proferida, sofrer profunda reformulação, tanto no tocante à alegada intempestividade, tanto quanto à refutação dos bens apresentados pela Agravante. Caso assim não entenda o juízo  "a quo",  seja o present</w:t>
      </w:r>
      <w:r>
        <w:t>e recurso apreciado pelo Tribunal "ad quem", determinando-se a reforma da decisão agravada.</w:t>
      </w:r>
    </w:p>
    <w:p w:rsidR="00000000" w:rsidRDefault="00056326">
      <w:pPr>
        <w:jc w:val="both"/>
      </w:pPr>
    </w:p>
    <w:p w:rsidR="00000000" w:rsidRDefault="00056326">
      <w:pPr>
        <w:jc w:val="both"/>
      </w:pPr>
    </w:p>
    <w:p w:rsidR="00000000" w:rsidRDefault="00056326">
      <w:pPr>
        <w:pStyle w:val="Ttulo1"/>
      </w:pPr>
      <w:r>
        <w:t>III - DO DIREITO MATERIAL ATINGIDO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O D. Magistrado ao proferir o despacho de fls. ...., acabou por atingir preceitos indispensáveis constantes do Código de Processo Civil Pátrio.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Preceitua o artigo 652 do referido Diploma Legal: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"Art. 652. O devedor será citado para no prazo de vinte e quatro horas, pagar ou nomear bens à penhora."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O prazo supra referido começa a partir do momento em que se torna parte integran</w:t>
      </w:r>
      <w:r>
        <w:t>te do feito, ou seja, no momento da juntada do mandado aos autos, somente a partir deste momento é que começa a correr o prazo para a parte apresentar sua nomeação à penhora, ou mesmo pagar a dívida, conforme é do entendimento de nossos tribunais conforme podemos comprovar na emenda abaixo transcrita: (Alexandre de Paula, O Processo Civil à Luz da Jurisprudência, Vol. VI, art. 591-735, Ed. Forense, 1984, Rio de Janeiro)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"O prazo de 24 horas para requerer o pagamento ou indicar bens à penhora deve ser conta</w:t>
      </w:r>
      <w:r>
        <w:t>do da juntada do mandado aos autos, pois só com a prática desse último ato é possível o conhecimento efetivo do inteiro teor e forma de diligência praticada, assim como de sua regularidade." (ac. unân. da 3ª Câm. do TJ-RS, de 21.06.79, no AI 32.715, Rel. Des. Paulo Boeckel Velloso; Rev. de Jurisp. do TJ-RS, Vol. 77, p. 178)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O Princípio fundamentado na decisão acima transcrita, encontra amparo em outro dispositivo legal, a saber, o art. 241 do Código de Processo Civil, verbis: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 xml:space="preserve">"Art. 241. Começa a correr o </w:t>
      </w:r>
      <w:r>
        <w:t>prazo: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II - quando a citação ou intimação for por oficial de justiça, da data de juntada aos autos do mandado cumprido;"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lastRenderedPageBreak/>
        <w:t>Nesse contexto, podemos destacar o célebre  comentário do renomado autor Pontes de Miranda: (Pontes de Miranda, Comentários ao Código de Processo Civil, p. 338/339, Tomo III, arts. 154 e 281, 3ª Edição Revista e Atualizada, 1996, Editora Forense, Rio de Janeiro)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 xml:space="preserve">"O art. 241 aponta cinco começos diferentes dos prazos, em caso de intimação: se a intimação for pessoal, ou com hora certa, </w:t>
      </w:r>
      <w:r>
        <w:t>tem de ser junto aos autos o mandado devidamente cumprido e é da data da juntada que começa a correr o prazo (segundo o art. 184, exclui-se o dia do começo e inclui-se o de vencimento);"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"Prazo, se a intimação foi pessoal, ou com hora certa começa a correr da juntada aos autos do mandado devidamente cumprido. A juntada é ato processual, que incumbe ao escrivão. Enquanto não o faz, com satisfação das exigências legais, não começa a correr o prazo."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Pode ser que desta forma, a decisão proferida às fls. ....</w:t>
      </w:r>
      <w:r>
        <w:t>, não tenha obedecido os parâmetros legais, tampouco observado a certidão anteriormente esposada pelo Sr. ...., no mandado de citação vez que este, como já explanado, informou da devolução do mandado por ter a Agravante apresentado bens para nomeação à penhora tempestivamente.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Note-se que a Agravante protocolizou sua nomeação de bens em data de .... de .... de ...., e que o mandado foi somente juntado em data de .... de .... de ....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Outrossim, mesmo que não computasse o prazo a partir da juntada do mandad</w:t>
      </w:r>
      <w:r>
        <w:t>o, e seguindo-se a regra do art. 184, o prazo da Agravante expiraria somente no dia .... de .... às .... horas (....), porém a Agravante providenciou o protocolo de seu rol de bens às .... horas do dia .... de .... de .... Absurda é a alegação do Agravado de que o prazo teria findado-se no mesmo dia .... de .... (....), dia em que ocorreu a citação.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 xml:space="preserve">Com efeito, o entendimento predominante é o de que o prazo para nomeação à penhora começa a correr somente quando da juntada do mandado, devidamente cumprido, </w:t>
      </w:r>
      <w:r>
        <w:t>aos autos.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Tal assunto tem sido tema de reiteradas decisões de nossos tribunais, conforme podemos observar nas emendas abaixo colacionadas: (Alexandre de Paula, Código de Processo Civil Anotado, Vol. I, art. 1 à 269, 6ª Edição, Revista e Atualizada, Editora Revista dos Tribunais)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"O prazo de resposta do réu começa a correr da data da juntada aos autos do mandado de citação devidamente cumprido, de acordo com o disposto no art. 241, inciso I, do CPC." (ac. unân. da 2ª Câm. do TJMG na apel. 76.655/2, rel. d</w:t>
      </w:r>
      <w:r>
        <w:t>es. Leonídio Doehler; DJMG de 02.03.89; Adcoas, 1989, nº 123.157)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 xml:space="preserve">"A contagem do prazo faz-se a partir da juntada do mandado aos autos, devidamente cumprido, excluindo-se o dia do início e incluindo-se o de vencimento." (ac. unân. da 3ª Câm. do TJPA de 10.04.87, na apel. 12.785, </w:t>
      </w:r>
      <w:r>
        <w:lastRenderedPageBreak/>
        <w:t>rel. des. Orlando Dias Vieira; RDC, 44/238)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"Efetivada a citação, seja pessoal ou com hora certa, incumbe ao oficial redigir a certidão e recolher o mandado em cartório. Mas apenas a partir do momento em que o escrivão juntá-lo ao</w:t>
      </w:r>
      <w:r>
        <w:t>s autos, terá início o prazo para a resposta. Não se conta do momento da realização da citação nem do recolhimento do mandado, mas da juntada, pouco importando o espaço que medeie entre eles." (ac. unân. da 8ª Câm. do 2º TACSP de 16.02.89, na apel. 249.120-8, rel. juiz Mello Junqueira; Adcoas, 1990, nº 123.696; RT 640/165)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Resta, desta forma comprovada a tempestividade da nomeação à penhora, apresentada pela ora Agravante, devendo o despacho atacado ser reformado no tocante a tal missiva.</w:t>
      </w:r>
    </w:p>
    <w:p w:rsidR="00000000" w:rsidRDefault="00056326">
      <w:pPr>
        <w:jc w:val="both"/>
      </w:pPr>
    </w:p>
    <w:p w:rsidR="00000000" w:rsidRDefault="00056326">
      <w:pPr>
        <w:jc w:val="both"/>
      </w:pPr>
    </w:p>
    <w:p w:rsidR="00000000" w:rsidRDefault="00056326">
      <w:pPr>
        <w:pStyle w:val="Ttulo1"/>
      </w:pPr>
      <w:r>
        <w:t xml:space="preserve">IV - DA RECUSA </w:t>
      </w:r>
      <w:r>
        <w:t>DOS BENS OFERECIDOS À PENHORA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Cabe, outrossim, requerer a reforma da decisão que não conheceu a nomeação dos imóveis oferecidos, sob o fundamento de que se tratam de imóveis situados em comarca distante.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Prefacialmente, há que se proferir uma breve análise do artigo 655 e 656 do Código de Processo Civil: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"Art. 655. Incumbe ao devedor, ao fazer a nomeação de bens, observar a seguinte ordem: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VIII - imóveis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Art. 656. Ter-se-á por ineficaz a nomeação, salvo convindo o credor: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I. se não obedecer à ordem le</w:t>
      </w:r>
      <w:r>
        <w:t>gal;</w:t>
      </w:r>
    </w:p>
    <w:p w:rsidR="00000000" w:rsidRDefault="00056326">
      <w:pPr>
        <w:jc w:val="both"/>
      </w:pPr>
      <w:r>
        <w:t xml:space="preserve"> </w:t>
      </w:r>
    </w:p>
    <w:p w:rsidR="00000000" w:rsidRDefault="00056326">
      <w:pPr>
        <w:jc w:val="both"/>
      </w:pPr>
      <w:r>
        <w:t>II. se não versar sobre bens designados em lei, contrato ou ato judicial para o pagamento;</w:t>
      </w:r>
    </w:p>
    <w:p w:rsidR="00000000" w:rsidRDefault="00056326">
      <w:pPr>
        <w:jc w:val="both"/>
      </w:pPr>
      <w:r>
        <w:t xml:space="preserve"> </w:t>
      </w:r>
    </w:p>
    <w:p w:rsidR="00000000" w:rsidRDefault="00056326">
      <w:pPr>
        <w:jc w:val="both"/>
      </w:pPr>
      <w:r>
        <w:t>III. se, havendo bens no foro da execução, outros hajam sido nomeados;</w:t>
      </w:r>
    </w:p>
    <w:p w:rsidR="00000000" w:rsidRDefault="00056326">
      <w:pPr>
        <w:jc w:val="both"/>
      </w:pPr>
      <w:r>
        <w:t xml:space="preserve"> </w:t>
      </w:r>
    </w:p>
    <w:p w:rsidR="00000000" w:rsidRDefault="00056326">
      <w:pPr>
        <w:jc w:val="both"/>
      </w:pPr>
      <w:r>
        <w:t>IV. se o devedor, tendo bens livres e desembargados, nomear outros que não sejam;</w:t>
      </w:r>
    </w:p>
    <w:p w:rsidR="00000000" w:rsidRDefault="00056326">
      <w:pPr>
        <w:jc w:val="both"/>
      </w:pPr>
      <w:r>
        <w:t>V. se os bens nomeados forem insuficientes para garantir a execução;</w:t>
      </w:r>
    </w:p>
    <w:p w:rsidR="00000000" w:rsidRDefault="00056326">
      <w:pPr>
        <w:jc w:val="both"/>
      </w:pPr>
      <w:r>
        <w:t xml:space="preserve"> </w:t>
      </w:r>
    </w:p>
    <w:p w:rsidR="00000000" w:rsidRDefault="00056326">
      <w:pPr>
        <w:jc w:val="both"/>
      </w:pPr>
      <w:r>
        <w:t>VI. se o devedor não indicar o valor dos bens ou omitir qualquer das indicações a que se referem os nºs I a IV do parágrafo 1º do artigo anterior."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Pode-se notar que a indicação ofereci</w:t>
      </w:r>
      <w:r>
        <w:t xml:space="preserve">da pela Agravante, preenche o requisito constante do artigo 655, VIII. Em conseguinte, não se consegue enquadrar a nomeação oferecida em nenhuma das hipóteses do artigo 656 do CPC, restando desta forma infundada a alegação de que os bens não </w:t>
      </w:r>
      <w:r>
        <w:lastRenderedPageBreak/>
        <w:t>cumprem o esposado na Lei.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Por seu turno, a alegação do Agravado e da decisão judicial atacada, alegam que os imóveis ofertados situam-se em "comarca mais distante", entretanto os imóveis indicados pelo Agravado não pertencem mais à Agravante tendo sido os mesmos vendi</w:t>
      </w:r>
      <w:r>
        <w:t>dos para o Sr. ...., através de Escritura Pública de Compra e Venda lavrada aos .... de .... de ...., às fls. .... do livro ...., pelo ....º Tabelião de Notas da Comarca de .... (docs. .... e ....).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O Agravado apresentou sua petição discordando dos bens nomeados em .... de .... de ...., instruindo tal pedido com matrículas não atualizadas, cuja última anotação operou-se em .... de .... de ...., fls. .... e .... dos autos.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Com efeito à indicação ofertada pelo Agravado, é muito posterior à venda do imóvel i</w:t>
      </w:r>
      <w:r>
        <w:t>ndicado e que por conseguinte já fora penhorado em favor da Agravante, bem como fora procedido seu depósito.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Dessa forma resta inútil a penhora efetivada, vez em que o magistrado não observou a data das referidas matrículas, as quais deveriam ter sido apresentadas à justiça atualizadas, sem que desta forma causasse prejuízos à terceiros, o que "in casu" ficou evidenciado.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O Agravado agiu de má-fé ao ofertar tais imóveis, pois já haviam sido alienados à terceiro .... meses antes da referida nomeação e muit</w:t>
      </w:r>
      <w:r>
        <w:t>o antes mesmo do ajuizamento da Ação de Execução ocorrido em .... de .... de ....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A Agravante não se manifestou sobre tal fato até o momento, em virtude de que seu prazo para embargos somente começou a fluir dia .... de .... de .... momento no qual fora juntado aos autos o mandado de penhora, bem como auto de depósito.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 xml:space="preserve">Ante ao exposto deve o despacho ser reformado, outrossim, no tocante à refutação dos bens ofertados pela Agravante, haja visto a ineficácia da penhora ocorrida por versar esta sobre bem de </w:t>
      </w:r>
      <w:r>
        <w:t>terceiro, alheio à demanda, devendo os efeitos resultantes da decisão atacada serem  considerados nulos.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Assim, junta para a formação a Agravante para a formação do instrumento as seguintes peças, colacionadas à presente: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a) Petição inicial, fls. .../...;</w:t>
      </w:r>
    </w:p>
    <w:p w:rsidR="00000000" w:rsidRDefault="00056326">
      <w:pPr>
        <w:jc w:val="both"/>
      </w:pPr>
      <w:r>
        <w:t xml:space="preserve"> </w:t>
      </w:r>
    </w:p>
    <w:p w:rsidR="00000000" w:rsidRDefault="00056326">
      <w:pPr>
        <w:jc w:val="both"/>
      </w:pPr>
      <w:r>
        <w:t>b) Certidão de expedição e juntada do mandado de citação (fls. .... e ....);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c) Mandado de citação e certidão de cumprimento e devolução (fls. .... e ....);</w:t>
      </w:r>
    </w:p>
    <w:p w:rsidR="00000000" w:rsidRDefault="00056326">
      <w:pPr>
        <w:jc w:val="both"/>
      </w:pPr>
      <w:r>
        <w:t xml:space="preserve"> </w:t>
      </w:r>
    </w:p>
    <w:p w:rsidR="00000000" w:rsidRDefault="00056326">
      <w:pPr>
        <w:jc w:val="both"/>
      </w:pPr>
      <w:r>
        <w:t>d) Petição da Agravante nomeando bens à penhora (fls. .... à ....);</w:t>
      </w:r>
    </w:p>
    <w:p w:rsidR="00000000" w:rsidRDefault="00056326">
      <w:pPr>
        <w:jc w:val="both"/>
      </w:pPr>
      <w:r>
        <w:t xml:space="preserve"> </w:t>
      </w:r>
    </w:p>
    <w:p w:rsidR="00000000" w:rsidRDefault="00056326">
      <w:pPr>
        <w:jc w:val="both"/>
      </w:pPr>
      <w:r>
        <w:lastRenderedPageBreak/>
        <w:t>e) Petição do Agravant</w:t>
      </w:r>
      <w:r>
        <w:t>e refutando os bens ofertados e indicando outros bens (fls. .... à ....);</w:t>
      </w:r>
    </w:p>
    <w:p w:rsidR="00000000" w:rsidRDefault="00056326">
      <w:pPr>
        <w:jc w:val="both"/>
      </w:pPr>
      <w:r>
        <w:t xml:space="preserve"> </w:t>
      </w:r>
    </w:p>
    <w:p w:rsidR="00000000" w:rsidRDefault="00056326">
      <w:pPr>
        <w:jc w:val="both"/>
      </w:pPr>
      <w:r>
        <w:t>f) Despacho agravado (fls. ....);</w:t>
      </w:r>
    </w:p>
    <w:p w:rsidR="00000000" w:rsidRDefault="00056326">
      <w:pPr>
        <w:jc w:val="both"/>
      </w:pPr>
      <w:r>
        <w:t xml:space="preserve"> </w:t>
      </w:r>
    </w:p>
    <w:p w:rsidR="00000000" w:rsidRDefault="00056326">
      <w:pPr>
        <w:jc w:val="both"/>
      </w:pPr>
      <w:r>
        <w:t>g) Certidão de publicação do despacho agravado, e certidão de expedição de mandado de penhora (fls. ....);</w:t>
      </w:r>
    </w:p>
    <w:p w:rsidR="00000000" w:rsidRDefault="00056326">
      <w:pPr>
        <w:jc w:val="both"/>
      </w:pPr>
      <w:r>
        <w:t xml:space="preserve"> </w:t>
      </w:r>
    </w:p>
    <w:p w:rsidR="00000000" w:rsidRDefault="00056326">
      <w:pPr>
        <w:jc w:val="both"/>
      </w:pPr>
      <w:r>
        <w:t>h) Mandado de penhora e auto de depósito (fls. .... e ....)</w:t>
      </w:r>
    </w:p>
    <w:p w:rsidR="00000000" w:rsidRDefault="00056326">
      <w:pPr>
        <w:jc w:val="both"/>
      </w:pPr>
    </w:p>
    <w:p w:rsidR="00000000" w:rsidRDefault="00056326">
      <w:pPr>
        <w:jc w:val="both"/>
      </w:pPr>
    </w:p>
    <w:p w:rsidR="00000000" w:rsidRDefault="00056326">
      <w:pPr>
        <w:jc w:val="both"/>
      </w:pPr>
      <w:r>
        <w:t>V - DO PEDIDO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Isto Posto, requer-se seja: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a) a apreciado o presente recurso pelo E. Tribunal;</w:t>
      </w:r>
    </w:p>
    <w:p w:rsidR="00000000" w:rsidRDefault="00056326">
      <w:pPr>
        <w:jc w:val="both"/>
      </w:pPr>
      <w:r>
        <w:t xml:space="preserve"> </w:t>
      </w:r>
    </w:p>
    <w:p w:rsidR="00000000" w:rsidRDefault="00056326">
      <w:pPr>
        <w:jc w:val="both"/>
      </w:pPr>
      <w:r>
        <w:t>b) a reconsiderado o despacho das fls. .... pelo juízo "a quo";</w:t>
      </w:r>
    </w:p>
    <w:p w:rsidR="00000000" w:rsidRDefault="00056326">
      <w:pPr>
        <w:jc w:val="both"/>
      </w:pPr>
      <w:r>
        <w:t xml:space="preserve"> </w:t>
      </w:r>
    </w:p>
    <w:p w:rsidR="00000000" w:rsidRDefault="00056326">
      <w:pPr>
        <w:jc w:val="both"/>
      </w:pPr>
      <w:r>
        <w:t>c) caso assim não entenda o Prolator Monocrático, seja o presente</w:t>
      </w:r>
      <w:r>
        <w:t xml:space="preserve"> recurso conhecido e provido, determinando-se a reforma integral do mesmo, retroagindo os efeitos resultantes de tal decisão agravada.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 xml:space="preserve">Termos em que </w:t>
      </w:r>
    </w:p>
    <w:p w:rsidR="00000000" w:rsidRDefault="00056326">
      <w:pPr>
        <w:jc w:val="both"/>
      </w:pPr>
      <w:r>
        <w:t>Pede deferimento.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...., .... de .... de ....</w:t>
      </w:r>
    </w:p>
    <w:p w:rsidR="00000000" w:rsidRDefault="00056326">
      <w:pPr>
        <w:jc w:val="both"/>
      </w:pPr>
    </w:p>
    <w:p w:rsidR="00000000" w:rsidRDefault="00056326">
      <w:pPr>
        <w:jc w:val="both"/>
      </w:pPr>
      <w:r>
        <w:t>..................</w:t>
      </w:r>
    </w:p>
    <w:p w:rsidR="00056326" w:rsidRDefault="00056326">
      <w:pPr>
        <w:jc w:val="both"/>
      </w:pPr>
      <w:r>
        <w:t>Advogado OAB/...</w:t>
      </w:r>
    </w:p>
    <w:sectPr w:rsidR="00056326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B"/>
    <w:rsid w:val="00056326"/>
    <w:rsid w:val="00F3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4F9C-3F04-4F9F-9CB2-2DF87B5F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2236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Autores em ação de imissão não cumpriram a obrigação que lhes competia. Razão pela qual não forma imitidos na posse.</vt:lpstr>
    </vt:vector>
  </TitlesOfParts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Autores em ação de imissão não cumpriram a obrigação que lhes competia. Razão pela qual não forma imitidos na posse.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2016-05-31T13:56:00Z</dcterms:created>
  <dcterms:modified xsi:type="dcterms:W3CDTF">2016-05-31T13:56:00Z</dcterms:modified>
</cp:coreProperties>
</file>