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A5E0" w14:textId="77777777" w:rsidR="00E034AB" w:rsidRPr="00A75EF4" w:rsidRDefault="00E034AB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75EF4">
        <w:rPr>
          <w:rFonts w:ascii="Arial" w:hAnsi="Arial" w:cs="Arial"/>
          <w:sz w:val="24"/>
          <w:szCs w:val="24"/>
        </w:rPr>
        <w:t xml:space="preserve">Agravo interno - </w:t>
      </w:r>
      <w:r w:rsidRPr="00A75EF4">
        <w:rPr>
          <w:rFonts w:ascii="Arial" w:hAnsi="Arial" w:cs="Arial"/>
          <w:sz w:val="24"/>
          <w:szCs w:val="24"/>
        </w:rPr>
        <w:t>De decisão monocrática que nega seguimento ao Recurso</w:t>
      </w:r>
      <w:r w:rsidR="00A75EF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Especial</w:t>
      </w:r>
    </w:p>
    <w:bookmarkEnd w:id="0"/>
    <w:p w14:paraId="2C110FC9" w14:textId="77777777" w:rsid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48D2FC" w14:textId="51F092FE" w:rsidR="00E034AB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EXMO. SR. DR. MINISTRO RELATOR (...) DA (...) TURMA DO COLENDO SUPERIOR TRIBUNAL DE JUSTIÇA</w:t>
      </w:r>
    </w:p>
    <w:p w14:paraId="1543FEE8" w14:textId="121D3F6A" w:rsidR="0013442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16934A" w14:textId="6980C276" w:rsidR="0013442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BB10F13" w14:textId="24278223" w:rsidR="0013442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AB83569" w14:textId="1DC0FFDD" w:rsidR="0013442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0247C1B" w14:textId="2B8ADE5D" w:rsidR="0013442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816E6E" w14:textId="77777777" w:rsidR="00134424" w:rsidRPr="0013442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AD2F4A7" w14:textId="30859DB4" w:rsidR="00E034AB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AUTOS: RESP N. (...)</w:t>
      </w:r>
    </w:p>
    <w:p w14:paraId="10FFCC46" w14:textId="1BDFA646" w:rsid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DFA808D" w14:textId="05EF91CE" w:rsid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2B9502B" w14:textId="779B2004" w:rsid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52830D1" w14:textId="77777777" w:rsidR="00134424" w:rsidRP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CB0F3D5" w14:textId="19606A84" w:rsidR="00E034AB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(...), por seus advogados sub</w:t>
      </w:r>
      <w:r w:rsidR="00134424">
        <w:rPr>
          <w:rFonts w:ascii="Arial" w:hAnsi="Arial" w:cs="Arial"/>
          <w:sz w:val="24"/>
          <w:szCs w:val="24"/>
        </w:rPr>
        <w:t xml:space="preserve">scritores, nos autos do recurso </w:t>
      </w:r>
      <w:r w:rsidRPr="00A75EF4">
        <w:rPr>
          <w:rFonts w:ascii="Arial" w:hAnsi="Arial" w:cs="Arial"/>
          <w:sz w:val="24"/>
          <w:szCs w:val="24"/>
        </w:rPr>
        <w:t>especial em epígrafe interposto por (...), vem, respeitosamente,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perante Vossa Excelência, diante da r. decisão monocrática de fls. (...),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interpor o presente</w:t>
      </w:r>
    </w:p>
    <w:p w14:paraId="22E2F94F" w14:textId="77777777" w:rsidR="00134424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872219" w14:textId="37D3F1F3" w:rsidR="00E034AB" w:rsidRDefault="00134424" w:rsidP="0013442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AGRAVO INTERNO</w:t>
      </w:r>
      <w:r w:rsidR="00E034AB" w:rsidRPr="00A75EF4">
        <w:rPr>
          <w:rFonts w:ascii="Arial" w:hAnsi="Arial" w:cs="Arial"/>
          <w:sz w:val="24"/>
          <w:szCs w:val="24"/>
        </w:rPr>
        <w:t>,</w:t>
      </w:r>
    </w:p>
    <w:p w14:paraId="58F5CFC4" w14:textId="77777777" w:rsidR="00134424" w:rsidRPr="00A75EF4" w:rsidRDefault="00134424" w:rsidP="0013442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68FB3E6" w14:textId="6E1DA9BC" w:rsidR="00E034AB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o que faz com fundamento nos</w:t>
      </w:r>
      <w:r w:rsidR="00134424">
        <w:rPr>
          <w:rFonts w:ascii="Arial" w:hAnsi="Arial" w:cs="Arial"/>
          <w:sz w:val="24"/>
          <w:szCs w:val="24"/>
        </w:rPr>
        <w:t xml:space="preserve"> artigos 258 e 259 do Regimento </w:t>
      </w:r>
      <w:r w:rsidRPr="00A75EF4">
        <w:rPr>
          <w:rFonts w:ascii="Arial" w:hAnsi="Arial" w:cs="Arial"/>
          <w:sz w:val="24"/>
          <w:szCs w:val="24"/>
        </w:rPr>
        <w:t>Interno deste E. Superior Tribunal de Justiça, arts. 1.021 e seguintes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do Código de Processo Civil e pelas razões a seguir aduzidas:</w:t>
      </w:r>
    </w:p>
    <w:p w14:paraId="03058B22" w14:textId="77777777" w:rsidR="00134424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F5782B" w14:textId="5718A00E" w:rsidR="00E034AB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I – OBJETO DESTE RECURSO</w:t>
      </w:r>
    </w:p>
    <w:p w14:paraId="66C123A2" w14:textId="77777777" w:rsidR="00134424" w:rsidRP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5C6CC1" w14:textId="66E4B6E0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É obter a reforma da r. decisão i</w:t>
      </w:r>
      <w:r w:rsidR="00134424">
        <w:rPr>
          <w:rFonts w:ascii="Arial" w:hAnsi="Arial" w:cs="Arial"/>
          <w:sz w:val="24"/>
          <w:szCs w:val="24"/>
        </w:rPr>
        <w:t xml:space="preserve">nterlocutória que não admitiu o </w:t>
      </w:r>
      <w:r w:rsidRPr="00A75EF4">
        <w:rPr>
          <w:rFonts w:ascii="Arial" w:hAnsi="Arial" w:cs="Arial"/>
          <w:sz w:val="24"/>
          <w:szCs w:val="24"/>
        </w:rPr>
        <w:t>Recurso Especial oportunamente interposto (fls... dos autos),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aduzindo, para tanto, que a o acórdão objeto do recurso interposto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decidiu diante das circunstâncias fáticas próprias do processo ‹sub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judice›, sendo certo, por este prisma, aterem-se às razões do recurso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 uma perspectiva de reexame desses elementos.</w:t>
      </w:r>
    </w:p>
    <w:p w14:paraId="50D801BC" w14:textId="59FB6967" w:rsidR="00E034AB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lastRenderedPageBreak/>
        <w:t>Entrementes, esse não foi o fim colimado pelos agravantes no seu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 xml:space="preserve">Recurso Especial que a decisão agravada não guarda, data </w:t>
      </w:r>
      <w:r w:rsidR="00134424">
        <w:rPr>
          <w:rFonts w:ascii="Arial" w:hAnsi="Arial" w:cs="Arial"/>
          <w:sz w:val="24"/>
          <w:szCs w:val="24"/>
        </w:rPr>
        <w:t xml:space="preserve">máxima </w:t>
      </w:r>
      <w:r w:rsidRPr="00A75EF4">
        <w:rPr>
          <w:rFonts w:ascii="Arial" w:hAnsi="Arial" w:cs="Arial"/>
          <w:sz w:val="24"/>
          <w:szCs w:val="24"/>
        </w:rPr>
        <w:t>venia, relação com o recurso interposto e sua admissibilidade, o que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se demonstrará:</w:t>
      </w:r>
    </w:p>
    <w:p w14:paraId="1D0769BA" w14:textId="77777777" w:rsidR="00134424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C7647D" w14:textId="6B4453C6" w:rsidR="00E034AB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II – EXPOSIÇÃO DO DIREITO</w:t>
      </w:r>
    </w:p>
    <w:p w14:paraId="374EBADB" w14:textId="77777777" w:rsidR="00134424" w:rsidRP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BC26EF" w14:textId="367EE45F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Como afirmado, os recorrentes, m</w:t>
      </w:r>
      <w:r w:rsidR="00134424">
        <w:rPr>
          <w:rFonts w:ascii="Arial" w:hAnsi="Arial" w:cs="Arial"/>
          <w:sz w:val="24"/>
          <w:szCs w:val="24"/>
        </w:rPr>
        <w:t xml:space="preserve">ãe e filhos são réus na ação em </w:t>
      </w:r>
      <w:r w:rsidRPr="00A75EF4">
        <w:rPr>
          <w:rFonts w:ascii="Arial" w:hAnsi="Arial" w:cs="Arial"/>
          <w:sz w:val="24"/>
          <w:szCs w:val="24"/>
        </w:rPr>
        <w:t>que sua irmã e também filha, a recorrida, questiona, por reputar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inoficiosa, a doação que sua mãe levou a efeito a um dos filhos.</w:t>
      </w:r>
    </w:p>
    <w:p w14:paraId="227D44E5" w14:textId="4C0556FD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Os recorrentes foram vencedores em</w:t>
      </w:r>
      <w:r w:rsidR="00134424">
        <w:rPr>
          <w:rFonts w:ascii="Arial" w:hAnsi="Arial" w:cs="Arial"/>
          <w:sz w:val="24"/>
          <w:szCs w:val="24"/>
        </w:rPr>
        <w:t xml:space="preserve"> primeiro grau de jurisdição e, </w:t>
      </w:r>
      <w:r w:rsidRPr="00A75EF4">
        <w:rPr>
          <w:rFonts w:ascii="Arial" w:hAnsi="Arial" w:cs="Arial"/>
          <w:sz w:val="24"/>
          <w:szCs w:val="24"/>
        </w:rPr>
        <w:t>surpreendidos pela reforma total da decisão monocrática, se viram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diante de flagrante afronta ao Código Civil, Lei 10.406 de 10 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janeiro de 2002, que no seu art. 549 estabelece:</w:t>
      </w:r>
    </w:p>
    <w:p w14:paraId="448BE553" w14:textId="239069CA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“Art. 549. Nula é também a doação quan</w:t>
      </w:r>
      <w:r w:rsidR="00134424">
        <w:rPr>
          <w:rFonts w:ascii="Arial" w:hAnsi="Arial" w:cs="Arial"/>
          <w:sz w:val="24"/>
          <w:szCs w:val="24"/>
        </w:rPr>
        <w:t xml:space="preserve">to à parte que exceder à de que </w:t>
      </w:r>
      <w:r w:rsidRPr="00A75EF4">
        <w:rPr>
          <w:rFonts w:ascii="Arial" w:hAnsi="Arial" w:cs="Arial"/>
          <w:sz w:val="24"/>
          <w:szCs w:val="24"/>
        </w:rPr>
        <w:t>o doador, no momento da liberalidade, poderia dispor em testamento.”</w:t>
      </w:r>
    </w:p>
    <w:p w14:paraId="60AC32EE" w14:textId="2D5830DD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 xml:space="preserve">Certo é que, diferentemente do </w:t>
      </w:r>
      <w:r w:rsidR="00134424">
        <w:rPr>
          <w:rFonts w:ascii="Arial" w:hAnsi="Arial" w:cs="Arial"/>
          <w:sz w:val="24"/>
          <w:szCs w:val="24"/>
        </w:rPr>
        <w:t xml:space="preserve">quanto sustentado genericamente </w:t>
      </w:r>
      <w:r w:rsidRPr="00A75EF4">
        <w:rPr>
          <w:rFonts w:ascii="Arial" w:hAnsi="Arial" w:cs="Arial"/>
          <w:sz w:val="24"/>
          <w:szCs w:val="24"/>
        </w:rPr>
        <w:t>pela decisão ora agravada, de maneira alguma há o revolvimento 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questões fáticas.</w:t>
      </w:r>
    </w:p>
    <w:p w14:paraId="115965B6" w14:textId="2EDB5261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Ao revés, a questão tratada n</w:t>
      </w:r>
      <w:r w:rsidR="00134424">
        <w:rPr>
          <w:rFonts w:ascii="Arial" w:hAnsi="Arial" w:cs="Arial"/>
          <w:sz w:val="24"/>
          <w:szCs w:val="24"/>
        </w:rPr>
        <w:t xml:space="preserve">o acórdão e no Recurso Especial </w:t>
      </w:r>
      <w:r w:rsidRPr="00A75EF4">
        <w:rPr>
          <w:rFonts w:ascii="Arial" w:hAnsi="Arial" w:cs="Arial"/>
          <w:sz w:val="24"/>
          <w:szCs w:val="24"/>
        </w:rPr>
        <w:t>interposto é puramente jurídica, ou seja, a de saber se recorrida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poderia, com supedâneo no art. 549 do Código Civil, aqui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questionado, se opor a eventual doação inoficiosa levada a efeito por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sua mãe, ora recorrida, antes da abertura da sucessão.</w:t>
      </w:r>
    </w:p>
    <w:p w14:paraId="16820D7F" w14:textId="519981D4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Observe-se, que o fundamento d</w:t>
      </w:r>
      <w:r w:rsidR="00134424">
        <w:rPr>
          <w:rFonts w:ascii="Arial" w:hAnsi="Arial" w:cs="Arial"/>
          <w:sz w:val="24"/>
          <w:szCs w:val="24"/>
        </w:rPr>
        <w:t xml:space="preserve">o Recurso Especial, em razão da </w:t>
      </w:r>
      <w:r w:rsidRPr="00A75EF4">
        <w:rPr>
          <w:rFonts w:ascii="Arial" w:hAnsi="Arial" w:cs="Arial"/>
          <w:sz w:val="24"/>
          <w:szCs w:val="24"/>
        </w:rPr>
        <w:t>negativa de vigência e interpretação data venia equivocada do direito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lá agitado, é a inferência que se extrai do art. 549 do Código Civil, cuja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correta interpretação, não empreendida, lamentavelmente, pelo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acórdão recorrido, indica que antes da delação da herança não há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partilha, nem monte partível, nem “de cujus” e tampouco legítima, 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tal sorte que filho algum da recorrente poderia reivindicar qualquer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coisa relativa à herança, pois não há herança, mas patrimônio!</w:t>
      </w:r>
    </w:p>
    <w:p w14:paraId="1002871D" w14:textId="75716DEC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Logo, a questão aqui discutida é ti</w:t>
      </w:r>
      <w:r w:rsidR="00134424">
        <w:rPr>
          <w:rFonts w:ascii="Arial" w:hAnsi="Arial" w:cs="Arial"/>
          <w:sz w:val="24"/>
          <w:szCs w:val="24"/>
        </w:rPr>
        <w:t xml:space="preserve">picamente objeto da angusta via </w:t>
      </w:r>
      <w:r w:rsidRPr="00A75EF4">
        <w:rPr>
          <w:rFonts w:ascii="Arial" w:hAnsi="Arial" w:cs="Arial"/>
          <w:sz w:val="24"/>
          <w:szCs w:val="24"/>
        </w:rPr>
        <w:t>do Recurso Especial.</w:t>
      </w:r>
    </w:p>
    <w:p w14:paraId="04B72C80" w14:textId="225DCABF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Acrescente-se a relevância do que aqu</w:t>
      </w:r>
      <w:r w:rsidR="00134424">
        <w:rPr>
          <w:rFonts w:ascii="Arial" w:hAnsi="Arial" w:cs="Arial"/>
          <w:sz w:val="24"/>
          <w:szCs w:val="24"/>
        </w:rPr>
        <w:t xml:space="preserve">i se trata, posto que o direito </w:t>
      </w:r>
      <w:r w:rsidRPr="00A75EF4">
        <w:rPr>
          <w:rFonts w:ascii="Arial" w:hAnsi="Arial" w:cs="Arial"/>
          <w:sz w:val="24"/>
          <w:szCs w:val="24"/>
        </w:rPr>
        <w:t>de propriedade da recorrente doadora, mãe da autora, ora recorrida,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não pode ser tratado como se fosse ela a “de cujus”.</w:t>
      </w:r>
    </w:p>
    <w:p w14:paraId="4C045907" w14:textId="1127CD49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lastRenderedPageBreak/>
        <w:t>Ela está viva e será ela titula</w:t>
      </w:r>
      <w:r w:rsidR="00134424">
        <w:rPr>
          <w:rFonts w:ascii="Arial" w:hAnsi="Arial" w:cs="Arial"/>
          <w:sz w:val="24"/>
          <w:szCs w:val="24"/>
        </w:rPr>
        <w:t xml:space="preserve">r de seus bens e gestora de seu </w:t>
      </w:r>
      <w:r w:rsidRPr="00A75EF4">
        <w:rPr>
          <w:rFonts w:ascii="Arial" w:hAnsi="Arial" w:cs="Arial"/>
          <w:sz w:val="24"/>
          <w:szCs w:val="24"/>
        </w:rPr>
        <w:t>patrimônio, deles dispondo livremente até o momento de sua morte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(inclusive ajudando ou premiando quem lhe aprouver), sem ter que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prestar contas de seus atos a filhos ressentidos, revelando-lhes 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tornando públicos seus negócios, riscos, fracassos ou sucessos.</w:t>
      </w:r>
    </w:p>
    <w:p w14:paraId="0A1FA0E8" w14:textId="151C4DB9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Impossível, portanto, sustentar qu</w:t>
      </w:r>
      <w:r w:rsidR="00134424">
        <w:rPr>
          <w:rFonts w:ascii="Arial" w:hAnsi="Arial" w:cs="Arial"/>
          <w:sz w:val="24"/>
          <w:szCs w:val="24"/>
        </w:rPr>
        <w:t xml:space="preserve">e o recurso adere a questões de </w:t>
      </w:r>
      <w:r w:rsidRPr="00A75EF4">
        <w:rPr>
          <w:rFonts w:ascii="Arial" w:hAnsi="Arial" w:cs="Arial"/>
          <w:sz w:val="24"/>
          <w:szCs w:val="24"/>
        </w:rPr>
        <w:t>natureza fática na medida em que se questiona a possibilidade ou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não, com fundamento no dispositivo de lei federal violado (CC, art.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549), de discutir inoficiosidade de doação de pai para filho antes da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abertura da sucessão.</w:t>
      </w:r>
    </w:p>
    <w:p w14:paraId="2AE9A786" w14:textId="30CB36FC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Como se sustentou alhures, no r</w:t>
      </w:r>
      <w:r w:rsidR="00134424">
        <w:rPr>
          <w:rFonts w:ascii="Arial" w:hAnsi="Arial" w:cs="Arial"/>
          <w:sz w:val="24"/>
          <w:szCs w:val="24"/>
        </w:rPr>
        <w:t xml:space="preserve">ecurso cujo seguimento se nega, </w:t>
      </w:r>
      <w:r w:rsidRPr="00A75EF4">
        <w:rPr>
          <w:rFonts w:ascii="Arial" w:hAnsi="Arial" w:cs="Arial"/>
          <w:sz w:val="24"/>
          <w:szCs w:val="24"/>
        </w:rPr>
        <w:t>não é de hoje que a doutrina, interpretando o art. 1.176 do Código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anterior, equivalente ao art. 549 do atual Código Civil aqui tido como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violado, ensina a impossibilidade da discussão, ora travada, antes da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abertura da sucessão do doador.</w:t>
      </w:r>
    </w:p>
    <w:p w14:paraId="66A6CC95" w14:textId="1327B42E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É esta a lição que inça da vetusta dou</w:t>
      </w:r>
      <w:r w:rsidR="00134424">
        <w:rPr>
          <w:rFonts w:ascii="Arial" w:hAnsi="Arial" w:cs="Arial"/>
          <w:sz w:val="24"/>
          <w:szCs w:val="24"/>
        </w:rPr>
        <w:t xml:space="preserve">trina de Itabaiana de Oliveira, </w:t>
      </w:r>
      <w:r w:rsidRPr="00A75EF4">
        <w:rPr>
          <w:rFonts w:ascii="Arial" w:hAnsi="Arial" w:cs="Arial"/>
          <w:sz w:val="24"/>
          <w:szCs w:val="24"/>
        </w:rPr>
        <w:t>segundo o qual: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“a redução das doações ‘inter vivos’ na parte inoficiosa somente pode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ser pedida pelos herdeiros necessários, E DEPOIS DA MORTE DO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DOADOR; procedendo-se, para esse fim, ao respectivo inventário dos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bens pertencentes ao ‘de cujus’, inclusive aos doados, computado 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valor destes ao tempo da doação, porque é essa época a que se refere 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art. 1.176 do Cód. Civil, quanto à inoficiosidade, e não à época da morte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do doador” (Tratado de Direito das Sucessões. 5. ed. atualizada pelos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Dês. Décio Itabaiana, Paulo Dourado de Gusmão e Paulo Pinto. Rio 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Janeiro: Freitas Bastos, p. 323).</w:t>
      </w:r>
    </w:p>
    <w:p w14:paraId="280351EA" w14:textId="77777777" w:rsidR="00E034AB" w:rsidRPr="00A75EF4" w:rsidRDefault="00E034AB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Carvalho Santos advertiu:</w:t>
      </w:r>
    </w:p>
    <w:p w14:paraId="58A0E6D7" w14:textId="49103546" w:rsidR="00E034AB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redu</w:t>
      </w:r>
      <w:r w:rsidR="00E034AB" w:rsidRPr="00A75EF4">
        <w:rPr>
          <w:rFonts w:ascii="Arial" w:hAnsi="Arial" w:cs="Arial"/>
          <w:sz w:val="24"/>
          <w:szCs w:val="24"/>
        </w:rPr>
        <w:t>ção só poderá ser pleiteada a</w:t>
      </w:r>
      <w:r>
        <w:rPr>
          <w:rFonts w:ascii="Arial" w:hAnsi="Arial" w:cs="Arial"/>
          <w:sz w:val="24"/>
          <w:szCs w:val="24"/>
        </w:rPr>
        <w:t xml:space="preserve">pós a abertura da sucessão, em </w:t>
      </w:r>
      <w:r w:rsidR="00E034AB" w:rsidRPr="00A75EF4">
        <w:rPr>
          <w:rFonts w:ascii="Arial" w:hAnsi="Arial" w:cs="Arial"/>
          <w:sz w:val="24"/>
          <w:szCs w:val="24"/>
        </w:rPr>
        <w:t xml:space="preserve">virtude da qual terá o </w:t>
      </w:r>
      <w:r w:rsidRPr="00A75EF4">
        <w:rPr>
          <w:rFonts w:ascii="Arial" w:hAnsi="Arial" w:cs="Arial"/>
          <w:sz w:val="24"/>
          <w:szCs w:val="24"/>
        </w:rPr>
        <w:t>legitimaria</w:t>
      </w:r>
      <w:r w:rsidR="00E034AB" w:rsidRPr="00A75EF4">
        <w:rPr>
          <w:rFonts w:ascii="Arial" w:hAnsi="Arial" w:cs="Arial"/>
          <w:sz w:val="24"/>
          <w:szCs w:val="24"/>
        </w:rPr>
        <w:t xml:space="preserve"> direito à legitima: em primeiro log</w:t>
      </w:r>
      <w:r>
        <w:rPr>
          <w:rFonts w:ascii="Arial" w:hAnsi="Arial" w:cs="Arial"/>
          <w:sz w:val="24"/>
          <w:szCs w:val="24"/>
        </w:rPr>
        <w:t>r</w:t>
      </w:r>
      <w:r w:rsidR="00E034AB" w:rsidRPr="00A75EF4">
        <w:rPr>
          <w:rFonts w:ascii="Arial" w:hAnsi="Arial" w:cs="Arial"/>
          <w:sz w:val="24"/>
          <w:szCs w:val="24"/>
        </w:rPr>
        <w:t>ar,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>porque, não havendo herança de pessoa viva, não poderia haver legítima,</w:t>
      </w:r>
      <w:r>
        <w:rPr>
          <w:rFonts w:ascii="Arial" w:hAnsi="Arial" w:cs="Arial"/>
          <w:sz w:val="24"/>
          <w:szCs w:val="24"/>
        </w:rPr>
        <w:t xml:space="preserve"> nem tampouco a</w:t>
      </w:r>
      <w:r w:rsidR="00E034AB" w:rsidRPr="00A75EF4">
        <w:rPr>
          <w:rFonts w:ascii="Arial" w:hAnsi="Arial" w:cs="Arial"/>
          <w:sz w:val="24"/>
          <w:szCs w:val="24"/>
        </w:rPr>
        <w:t>ção de redução, visando integrá-la; em segundo log</w:t>
      </w:r>
      <w:r>
        <w:rPr>
          <w:rFonts w:ascii="Arial" w:hAnsi="Arial" w:cs="Arial"/>
          <w:sz w:val="24"/>
          <w:szCs w:val="24"/>
        </w:rPr>
        <w:t>r</w:t>
      </w:r>
      <w:r w:rsidR="00E034AB" w:rsidRPr="00A75EF4">
        <w:rPr>
          <w:rFonts w:ascii="Arial" w:hAnsi="Arial" w:cs="Arial"/>
          <w:sz w:val="24"/>
          <w:szCs w:val="24"/>
        </w:rPr>
        <w:t>ar,</w:t>
      </w:r>
      <w:r>
        <w:rPr>
          <w:rFonts w:ascii="Arial" w:hAnsi="Arial" w:cs="Arial"/>
          <w:sz w:val="24"/>
          <w:szCs w:val="24"/>
        </w:rPr>
        <w:t xml:space="preserve"> porque em vida daque</w:t>
      </w:r>
      <w:r w:rsidR="00E034AB" w:rsidRPr="00A75EF4">
        <w:rPr>
          <w:rFonts w:ascii="Arial" w:hAnsi="Arial" w:cs="Arial"/>
          <w:sz w:val="24"/>
          <w:szCs w:val="24"/>
        </w:rPr>
        <w:t>le de quem pretendem herdar, não podem os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 xml:space="preserve">presumidos </w:t>
      </w:r>
      <w:r w:rsidRPr="00A75EF4">
        <w:rPr>
          <w:rFonts w:ascii="Arial" w:hAnsi="Arial" w:cs="Arial"/>
          <w:sz w:val="24"/>
          <w:szCs w:val="24"/>
        </w:rPr>
        <w:t>legitimarias</w:t>
      </w:r>
      <w:r>
        <w:rPr>
          <w:rFonts w:ascii="Arial" w:hAnsi="Arial" w:cs="Arial"/>
          <w:sz w:val="24"/>
          <w:szCs w:val="24"/>
        </w:rPr>
        <w:t xml:space="preserve"> impedir qualquer ato que el</w:t>
      </w:r>
      <w:r w:rsidR="00E034AB" w:rsidRPr="00A75EF4">
        <w:rPr>
          <w:rFonts w:ascii="Arial" w:hAnsi="Arial" w:cs="Arial"/>
          <w:sz w:val="24"/>
          <w:szCs w:val="24"/>
        </w:rPr>
        <w:t>e queira praticar,</w:t>
      </w:r>
      <w:r>
        <w:rPr>
          <w:rFonts w:ascii="Arial" w:hAnsi="Arial" w:cs="Arial"/>
          <w:sz w:val="24"/>
          <w:szCs w:val="24"/>
        </w:rPr>
        <w:t xml:space="preserve"> al</w:t>
      </w:r>
      <w:r w:rsidR="00E034AB" w:rsidRPr="00A75EF4">
        <w:rPr>
          <w:rFonts w:ascii="Arial" w:hAnsi="Arial" w:cs="Arial"/>
          <w:sz w:val="24"/>
          <w:szCs w:val="24"/>
        </w:rPr>
        <w:t>egando que possa implicar, ou que implica realmente, em lesão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 xml:space="preserve">irreparável ao seu direito </w:t>
      </w:r>
      <w:r w:rsidRPr="00A75EF4">
        <w:rPr>
          <w:rFonts w:ascii="Arial" w:hAnsi="Arial" w:cs="Arial"/>
          <w:sz w:val="24"/>
          <w:szCs w:val="24"/>
        </w:rPr>
        <w:t>à</w:t>
      </w:r>
      <w:r w:rsidR="00E034AB" w:rsidRPr="00A75EF4">
        <w:rPr>
          <w:rFonts w:ascii="Arial" w:hAnsi="Arial" w:cs="Arial"/>
          <w:sz w:val="24"/>
          <w:szCs w:val="24"/>
        </w:rPr>
        <w:t xml:space="preserve"> legitima; nem intervi</w:t>
      </w:r>
      <w:r>
        <w:rPr>
          <w:rFonts w:ascii="Arial" w:hAnsi="Arial" w:cs="Arial"/>
          <w:sz w:val="24"/>
          <w:szCs w:val="24"/>
        </w:rPr>
        <w:t>r em outros a</w:t>
      </w:r>
      <w:r w:rsidR="00E034AB" w:rsidRPr="00A75EF4">
        <w:rPr>
          <w:rFonts w:ascii="Arial" w:hAnsi="Arial" w:cs="Arial"/>
          <w:sz w:val="24"/>
          <w:szCs w:val="24"/>
        </w:rPr>
        <w:t>tos para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>reconhecer si são sinceros ou simulados, e, si, por isso podem ou não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 xml:space="preserve">expor a perigos e </w:t>
      </w:r>
      <w:r w:rsidRPr="00A75EF4">
        <w:rPr>
          <w:rFonts w:ascii="Arial" w:hAnsi="Arial" w:cs="Arial"/>
          <w:sz w:val="24"/>
          <w:szCs w:val="24"/>
        </w:rPr>
        <w:t>prejuízos</w:t>
      </w:r>
      <w:r w:rsidR="00E034AB" w:rsidRPr="00A75EF4">
        <w:rPr>
          <w:rFonts w:ascii="Arial" w:hAnsi="Arial" w:cs="Arial"/>
          <w:sz w:val="24"/>
          <w:szCs w:val="24"/>
        </w:rPr>
        <w:t xml:space="preserve"> os seus possíveis direitos; nem, enfim,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 xml:space="preserve">praticar actos </w:t>
      </w:r>
      <w:r w:rsidRPr="00A75EF4">
        <w:rPr>
          <w:rFonts w:ascii="Arial" w:hAnsi="Arial" w:cs="Arial"/>
          <w:sz w:val="24"/>
          <w:szCs w:val="24"/>
        </w:rPr>
        <w:t>conservatórios</w:t>
      </w:r>
      <w:r w:rsidR="00E034AB" w:rsidRPr="00A75EF4">
        <w:rPr>
          <w:rFonts w:ascii="Arial" w:hAnsi="Arial" w:cs="Arial"/>
          <w:sz w:val="24"/>
          <w:szCs w:val="24"/>
        </w:rPr>
        <w:t>...” (cf. J. M. de Carvalho Santos, Código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>Civil Brasileiro Interpretado. 2. ed. Rio de Janeiro: Freitas Bastos, 1938,</w:t>
      </w:r>
      <w:r>
        <w:rPr>
          <w:rFonts w:ascii="Arial" w:hAnsi="Arial" w:cs="Arial"/>
          <w:sz w:val="24"/>
          <w:szCs w:val="24"/>
        </w:rPr>
        <w:t xml:space="preserve"> </w:t>
      </w:r>
      <w:r w:rsidR="00E034AB" w:rsidRPr="00A75EF4">
        <w:rPr>
          <w:rFonts w:ascii="Arial" w:hAnsi="Arial" w:cs="Arial"/>
          <w:sz w:val="24"/>
          <w:szCs w:val="24"/>
        </w:rPr>
        <w:t>vol. XXIV, p. 129).</w:t>
      </w:r>
    </w:p>
    <w:p w14:paraId="5D9EB471" w14:textId="12085F11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lastRenderedPageBreak/>
        <w:t xml:space="preserve">A finalidade social da norma é frear </w:t>
      </w:r>
      <w:r w:rsidR="00134424">
        <w:rPr>
          <w:rFonts w:ascii="Arial" w:hAnsi="Arial" w:cs="Arial"/>
          <w:sz w:val="24"/>
          <w:szCs w:val="24"/>
        </w:rPr>
        <w:t xml:space="preserve">os ímpetos de herdeiros afoitos </w:t>
      </w:r>
      <w:r w:rsidRPr="00A75EF4">
        <w:rPr>
          <w:rFonts w:ascii="Arial" w:hAnsi="Arial" w:cs="Arial"/>
          <w:sz w:val="24"/>
          <w:szCs w:val="24"/>
        </w:rPr>
        <w:t>que, após esbanjar ou dissipar, por sua própria inabilidade ou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prodigalidade, os bens que receberam, contra os pais litigarão, como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ocorre no vertente caso, motivados pelo “gosto pelo ócio ou pelos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regalos da vida fácil, consequência da expectativa de gorda herança,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como sustenta Lacerda De Almeida” (Carvalho Santos, ob. cit., vol.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XXII, p. 35/36).</w:t>
      </w:r>
    </w:p>
    <w:p w14:paraId="344D2DCD" w14:textId="0EE64EF5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Neste sentido é que há muito te</w:t>
      </w:r>
      <w:r w:rsidR="00134424">
        <w:rPr>
          <w:rFonts w:ascii="Arial" w:hAnsi="Arial" w:cs="Arial"/>
          <w:sz w:val="24"/>
          <w:szCs w:val="24"/>
        </w:rPr>
        <w:t xml:space="preserve">mpo o Supremo Tribunal Federal, </w:t>
      </w:r>
      <w:r w:rsidRPr="00A75EF4">
        <w:rPr>
          <w:rFonts w:ascii="Arial" w:hAnsi="Arial" w:cs="Arial"/>
          <w:sz w:val="24"/>
          <w:szCs w:val="24"/>
        </w:rPr>
        <w:t>resolvendo caso de doação inoficiosa (RE 53.483), do qual foi relator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o eminente Min. Hahnemman Guimarães, já assentava e proclamava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que: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“pertencendo aos herdeiros necessários a ação para anular a doação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inoficiosa, só é admissível depois da morte do doador”; É que não pode,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em vida, um filho pretender anular doação feita pelo pai a um de seus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irmãos. Tal fato é tão comezinho, pois não poderia o filho disputar uma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herança que ainda não existia.” (cf. Jurisprudência Brasileira, vol. 53, p.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227 a 228).</w:t>
      </w:r>
    </w:p>
    <w:p w14:paraId="5F368282" w14:textId="71EAF68B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Portanto, de acordo com a corre</w:t>
      </w:r>
      <w:r w:rsidR="00134424">
        <w:rPr>
          <w:rFonts w:ascii="Arial" w:hAnsi="Arial" w:cs="Arial"/>
          <w:sz w:val="24"/>
          <w:szCs w:val="24"/>
        </w:rPr>
        <w:t xml:space="preserve">ta interpretação do art. 549 do </w:t>
      </w:r>
      <w:r w:rsidRPr="00A75EF4">
        <w:rPr>
          <w:rFonts w:ascii="Arial" w:hAnsi="Arial" w:cs="Arial"/>
          <w:sz w:val="24"/>
          <w:szCs w:val="24"/>
        </w:rPr>
        <w:t>Código Civil que se pleiteia no recurso cujo seguimento foi negado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pela decisão recorrida sob argumento de se tratar de questão de fato,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se antes da morte do doador é impossível aferir-se a legítima, por não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existir monte partível e por ser vedado disputar a herança de pessoa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viva, forçoso é concluir que, ao contrário da pálida “tese” sustentada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pelo acórdão recorrido, a ação de qualquer herdeiro necessário para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anular doação inoficiosa “somente pode ser admitida após o óbito do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doador.”</w:t>
      </w:r>
    </w:p>
    <w:p w14:paraId="0889603B" w14:textId="635C672A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Diante do exposto, não há f</w:t>
      </w:r>
      <w:r w:rsidR="00134424">
        <w:rPr>
          <w:rFonts w:ascii="Arial" w:hAnsi="Arial" w:cs="Arial"/>
          <w:sz w:val="24"/>
          <w:szCs w:val="24"/>
        </w:rPr>
        <w:t xml:space="preserve">alar-se em análise fática, como </w:t>
      </w:r>
      <w:r w:rsidRPr="00A75EF4">
        <w:rPr>
          <w:rFonts w:ascii="Arial" w:hAnsi="Arial" w:cs="Arial"/>
          <w:sz w:val="24"/>
          <w:szCs w:val="24"/>
        </w:rPr>
        <w:t>equivocadamente faz crer a fundamentação da negativa 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seguimento do Recurso Especial.</w:t>
      </w:r>
    </w:p>
    <w:p w14:paraId="63EDA1CE" w14:textId="4F286BBB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Trata-se de verdadeira negativa de vi</w:t>
      </w:r>
      <w:r w:rsidR="00134424">
        <w:rPr>
          <w:rFonts w:ascii="Arial" w:hAnsi="Arial" w:cs="Arial"/>
          <w:sz w:val="24"/>
          <w:szCs w:val="24"/>
        </w:rPr>
        <w:t xml:space="preserve">gência de Lei Federal (CC, art. </w:t>
      </w:r>
      <w:r w:rsidRPr="00A75EF4">
        <w:rPr>
          <w:rFonts w:ascii="Arial" w:hAnsi="Arial" w:cs="Arial"/>
          <w:sz w:val="24"/>
          <w:szCs w:val="24"/>
        </w:rPr>
        <w:t>549).</w:t>
      </w:r>
    </w:p>
    <w:p w14:paraId="064FFC3E" w14:textId="1D6FBE73" w:rsidR="00E034AB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Portanto, não há como dei</w:t>
      </w:r>
      <w:r w:rsidR="00134424">
        <w:rPr>
          <w:rFonts w:ascii="Arial" w:hAnsi="Arial" w:cs="Arial"/>
          <w:sz w:val="24"/>
          <w:szCs w:val="24"/>
        </w:rPr>
        <w:t xml:space="preserve">xar de reconhecer que o Recurso </w:t>
      </w:r>
      <w:r w:rsidRPr="00A75EF4">
        <w:rPr>
          <w:rFonts w:ascii="Arial" w:hAnsi="Arial" w:cs="Arial"/>
          <w:sz w:val="24"/>
          <w:szCs w:val="24"/>
        </w:rPr>
        <w:t>Especial, em verdade, está fundamentado no inciso III, “a”, do art. 105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da Constituição Federal, fazendo-se mister seu conhecimento 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provimento.</w:t>
      </w:r>
    </w:p>
    <w:p w14:paraId="62EA09EE" w14:textId="77777777" w:rsidR="00134424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8C904B" w14:textId="0234ECD8" w:rsidR="00E034AB" w:rsidRP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III – PEDIDO</w:t>
      </w:r>
    </w:p>
    <w:p w14:paraId="017DE05D" w14:textId="77777777" w:rsidR="00134424" w:rsidRPr="00A75EF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5DA3B1" w14:textId="6FE7EEA7" w:rsidR="00E034AB" w:rsidRPr="00A75EF4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Em razão do exposto, requer</w:t>
      </w:r>
      <w:r w:rsidR="00134424">
        <w:rPr>
          <w:rFonts w:ascii="Arial" w:hAnsi="Arial" w:cs="Arial"/>
          <w:sz w:val="24"/>
          <w:szCs w:val="24"/>
        </w:rPr>
        <w:t xml:space="preserve">-se ao Nobre Ministro Relator a </w:t>
      </w:r>
      <w:r w:rsidRPr="00A75EF4">
        <w:rPr>
          <w:rFonts w:ascii="Arial" w:hAnsi="Arial" w:cs="Arial"/>
          <w:sz w:val="24"/>
          <w:szCs w:val="24"/>
        </w:rPr>
        <w:t>reconsideração da r. Decisão monocrática, com fulcro no art. 259 do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 xml:space="preserve">Regimente </w:t>
      </w:r>
      <w:r w:rsidRPr="00A75EF4">
        <w:rPr>
          <w:rFonts w:ascii="Arial" w:hAnsi="Arial" w:cs="Arial"/>
          <w:sz w:val="24"/>
          <w:szCs w:val="24"/>
        </w:rPr>
        <w:lastRenderedPageBreak/>
        <w:t>Interno deste Superior Tribunal de Justiça, para o fim de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dar provimento ao recurso.</w:t>
      </w:r>
    </w:p>
    <w:p w14:paraId="171F195B" w14:textId="343EA2CD" w:rsidR="00E034AB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Caso não seja este o entendime</w:t>
      </w:r>
      <w:r w:rsidR="00134424">
        <w:rPr>
          <w:rFonts w:ascii="Arial" w:hAnsi="Arial" w:cs="Arial"/>
          <w:sz w:val="24"/>
          <w:szCs w:val="24"/>
        </w:rPr>
        <w:t xml:space="preserve">nto de Vossa Excelência, requer </w:t>
      </w:r>
      <w:r w:rsidRPr="00A75EF4">
        <w:rPr>
          <w:rFonts w:ascii="Arial" w:hAnsi="Arial" w:cs="Arial"/>
          <w:sz w:val="24"/>
          <w:szCs w:val="24"/>
        </w:rPr>
        <w:t>seja o vertente agravo interno remetido à Colenda Turma deste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Excelso Tribunal e que a ele seja dado provimento para apreciação e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acolhimento do Recurso Especial Interposto (art. 259, caput, RISTJ).</w:t>
      </w:r>
    </w:p>
    <w:p w14:paraId="61F85096" w14:textId="77777777" w:rsidR="00134424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1C7401" w14:textId="647D2FD6" w:rsidR="00E034AB" w:rsidRPr="0013442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4424">
        <w:rPr>
          <w:rFonts w:ascii="Arial" w:hAnsi="Arial" w:cs="Arial"/>
          <w:b/>
          <w:sz w:val="24"/>
          <w:szCs w:val="24"/>
        </w:rPr>
        <w:t>IV – REQUERIMENTO</w:t>
      </w:r>
    </w:p>
    <w:p w14:paraId="4A7647AF" w14:textId="77777777" w:rsidR="00134424" w:rsidRPr="00A75EF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6B493D" w14:textId="6FF0DA59" w:rsidR="00E034AB" w:rsidRDefault="00E034AB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Isto posto, serve a presente par</w:t>
      </w:r>
      <w:r w:rsidR="00134424">
        <w:rPr>
          <w:rFonts w:ascii="Arial" w:hAnsi="Arial" w:cs="Arial"/>
          <w:sz w:val="24"/>
          <w:szCs w:val="24"/>
        </w:rPr>
        <w:t xml:space="preserve">a requerer a V. Excelência que, </w:t>
      </w:r>
      <w:r w:rsidRPr="00A75EF4">
        <w:rPr>
          <w:rFonts w:ascii="Arial" w:hAnsi="Arial" w:cs="Arial"/>
          <w:sz w:val="24"/>
          <w:szCs w:val="24"/>
        </w:rPr>
        <w:t>protocolada esta petição na Secretaria desse Eg. Tribunal, intime-se a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agravada para responder, querendo, no prazo de dez (15) quinze dias,</w:t>
      </w:r>
      <w:r w:rsidR="00134424">
        <w:rPr>
          <w:rFonts w:ascii="Arial" w:hAnsi="Arial" w:cs="Arial"/>
          <w:sz w:val="24"/>
          <w:szCs w:val="24"/>
        </w:rPr>
        <w:t xml:space="preserve"> </w:t>
      </w:r>
      <w:r w:rsidRPr="00A75EF4">
        <w:rPr>
          <w:rFonts w:ascii="Arial" w:hAnsi="Arial" w:cs="Arial"/>
          <w:sz w:val="24"/>
          <w:szCs w:val="24"/>
        </w:rPr>
        <w:t>cumpridas as necessárias formalidades legais.</w:t>
      </w:r>
    </w:p>
    <w:p w14:paraId="05F57B0D" w14:textId="77777777" w:rsidR="00134424" w:rsidRPr="00A75EF4" w:rsidRDefault="00134424" w:rsidP="001344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E5A743" w14:textId="77777777" w:rsidR="00E034AB" w:rsidRPr="00A75EF4" w:rsidRDefault="00E034AB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Termos em que,</w:t>
      </w:r>
    </w:p>
    <w:p w14:paraId="2B4EAA28" w14:textId="4F8CC754" w:rsidR="00E034AB" w:rsidRDefault="00E034AB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Pede deferimento.</w:t>
      </w:r>
    </w:p>
    <w:p w14:paraId="66C7C40B" w14:textId="77777777" w:rsidR="00134424" w:rsidRPr="00A75EF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E27AD4" w14:textId="110853E7" w:rsidR="00E034AB" w:rsidRDefault="00E034AB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Data</w:t>
      </w:r>
    </w:p>
    <w:p w14:paraId="078777CC" w14:textId="77777777" w:rsidR="00134424" w:rsidRPr="00A75EF4" w:rsidRDefault="00134424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8ED6A2" w14:textId="77777777" w:rsidR="002519C8" w:rsidRPr="00A75EF4" w:rsidRDefault="00E034AB" w:rsidP="00A75E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EF4">
        <w:rPr>
          <w:rFonts w:ascii="Arial" w:hAnsi="Arial" w:cs="Arial"/>
          <w:sz w:val="24"/>
          <w:szCs w:val="24"/>
        </w:rPr>
        <w:t>Advogado (OAB)</w:t>
      </w:r>
      <w:r w:rsidRPr="00A75EF4">
        <w:rPr>
          <w:rFonts w:ascii="Arial" w:hAnsi="Arial" w:cs="Arial"/>
          <w:sz w:val="24"/>
          <w:szCs w:val="24"/>
        </w:rPr>
        <w:t xml:space="preserve"> </w:t>
      </w:r>
    </w:p>
    <w:sectPr w:rsidR="002519C8" w:rsidRPr="00A75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B"/>
    <w:rsid w:val="00134424"/>
    <w:rsid w:val="002A4B8F"/>
    <w:rsid w:val="003F6E55"/>
    <w:rsid w:val="00A75EF4"/>
    <w:rsid w:val="00E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9369"/>
  <w15:chartTrackingRefBased/>
  <w15:docId w15:val="{77BA091D-AF50-4286-A4F6-7F8C1476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2016-06-10T01:33:00Z</dcterms:created>
  <dcterms:modified xsi:type="dcterms:W3CDTF">2016-06-10T02:02:00Z</dcterms:modified>
</cp:coreProperties>
</file>