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58D1">
      <w:pPr>
        <w:pStyle w:val="Corpodetexto2"/>
        <w:shd w:val="pct5" w:color="auto" w:fill="auto"/>
      </w:pPr>
      <w:bookmarkStart w:id="0" w:name="_GoBack"/>
      <w:r>
        <w:rPr>
          <w:b/>
          <w:bCs/>
        </w:rPr>
        <w:t>CONTESTAÇÃO</w:t>
      </w:r>
      <w:r>
        <w:t xml:space="preserve"> - </w:t>
      </w:r>
      <w:r>
        <w:rPr>
          <w:b/>
          <w:bCs/>
        </w:rPr>
        <w:t>AÇÃO DECLARATÓRIA</w:t>
      </w:r>
      <w:bookmarkEnd w:id="0"/>
      <w:r>
        <w:t xml:space="preserve"> Pretende a ré (empresa de consórcio), em caso de devolução das importâncias pagas pelo autor, que as mesmas sejam corrigidas pelos índices oficiais de correção monetária e que a oportunidade da devolução ocorra quando do encerramento do grupo de consórcio</w:t>
      </w:r>
      <w:r>
        <w:t>, descontando-se desta importância a taxa de administração.</w:t>
      </w:r>
    </w:p>
    <w:p w:rsidR="00000000" w:rsidRDefault="006C58D1">
      <w:pPr>
        <w:jc w:val="both"/>
      </w:pPr>
    </w:p>
    <w:p w:rsidR="00000000" w:rsidRDefault="006C58D1">
      <w:pPr>
        <w:jc w:val="both"/>
        <w:rPr>
          <w:b/>
          <w:bCs/>
        </w:rPr>
      </w:pPr>
      <w:r>
        <w:rPr>
          <w:b/>
          <w:bCs/>
        </w:rPr>
        <w:t>EXMO. SR. DR. JUIZ DE DIREITO DA .... ª VARA DA COMARCA DE ....</w:t>
      </w:r>
    </w:p>
    <w:p w:rsidR="00000000" w:rsidRDefault="006C58D1">
      <w:pPr>
        <w:jc w:val="both"/>
        <w:rPr>
          <w:b/>
          <w:bCs/>
        </w:rPr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</w:pPr>
      <w:r>
        <w:t>..................................................., (qualificação), pessoa jurídica de direito privado, representada por seus advogados e procuradores conforme instrumento de mandato incluso, com escritório na Rua .... nº ...., em ........................</w:t>
      </w:r>
      <w:r>
        <w:t xml:space="preserve">.............., já qualificada nos Autos nº .... da </w:t>
      </w:r>
      <w:r>
        <w:rPr>
          <w:b/>
          <w:bCs/>
        </w:rPr>
        <w:t>AÇÃO DECLARATÓRIA</w:t>
      </w:r>
      <w:r>
        <w:t xml:space="preserve"> proposta por ...., vem respeitosamente à presença de V. Exa., com fulcro no artigo 278 do Código de Processo Civil, apresentar sua</w:t>
      </w: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pStyle w:val="Ttulo1"/>
      </w:pPr>
      <w:r>
        <w:t>CONTESTAÇÃO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o que faz pelos motivos de fato e releva</w:t>
      </w:r>
      <w:r>
        <w:t>ntes razões de direito que passa a expor:</w:t>
      </w:r>
    </w:p>
    <w:p w:rsidR="00000000" w:rsidRDefault="006C58D1">
      <w:pPr>
        <w:jc w:val="both"/>
      </w:pPr>
    </w:p>
    <w:p w:rsidR="00000000" w:rsidRDefault="006C58D1">
      <w:pPr>
        <w:jc w:val="both"/>
        <w:rPr>
          <w:b/>
          <w:bCs/>
        </w:rPr>
      </w:pPr>
      <w:r>
        <w:rPr>
          <w:b/>
          <w:bCs/>
        </w:rPr>
        <w:t>Do Mérito:</w:t>
      </w:r>
    </w:p>
    <w:p w:rsidR="00000000" w:rsidRDefault="006C58D1">
      <w:pPr>
        <w:jc w:val="both"/>
      </w:pPr>
    </w:p>
    <w:p w:rsidR="00000000" w:rsidRDefault="006C58D1">
      <w:pPr>
        <w:jc w:val="both"/>
        <w:rPr>
          <w:b/>
          <w:bCs/>
        </w:rPr>
      </w:pPr>
      <w:r>
        <w:rPr>
          <w:b/>
          <w:bCs/>
        </w:rPr>
        <w:t>DAS ALEGAÇÕES DO AUTOR: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As alegações do autor carecem em sua totalidade de qualquer embasamento legal. O autor, demonstrando seu completo desconhecimento das normas que regem o sistema de consórcio, b</w:t>
      </w:r>
      <w:r>
        <w:t>em como o que reza a Portaria 190, cujas regras foram ditadas pelo Poder Público, tenta induzir a erro este r. Juízo, com acertivas inverídicas sobre a atuação da Ré.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Requer o ora autor em sua exordial, a devolução dos valores pagos quando consorciado ati</w:t>
      </w:r>
      <w:r>
        <w:t>vo no grupo de consórcio devidamente corrigidos pelo percentual referente a variação do preço do bem.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Entende a ora Ré, embora seu descontentamento, que a devolução dos valores pagos ao ora Autor deverão acompanhar os índices oficiais da correção monetári</w:t>
      </w:r>
      <w:r>
        <w:t>a, segundo o que determina a Súmula nº 35 do STJ.</w:t>
      </w:r>
    </w:p>
    <w:p w:rsidR="00000000" w:rsidRDefault="006C58D1">
      <w:pPr>
        <w:jc w:val="both"/>
      </w:pPr>
    </w:p>
    <w:p w:rsidR="00000000" w:rsidRDefault="006C58D1">
      <w:pPr>
        <w:jc w:val="both"/>
      </w:pPr>
    </w:p>
    <w:p w:rsidR="00000000" w:rsidRDefault="006C58D1">
      <w:pPr>
        <w:jc w:val="both"/>
        <w:rPr>
          <w:b/>
          <w:bCs/>
        </w:rPr>
      </w:pPr>
      <w:r>
        <w:rPr>
          <w:b/>
          <w:bCs/>
        </w:rPr>
        <w:t>Do Direito: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 xml:space="preserve">Como é do conhecimento deste r. Juízo, as atividades consorciais são </w:t>
      </w:r>
      <w:r>
        <w:lastRenderedPageBreak/>
        <w:t>reguladas pela Portaria 190, cujas normas foram ditadas pelo Poder Público, Ministério da Fazenda. Suas normas, principalmente aquela relativa à modalidade de devolução, implicam em cláus</w:t>
      </w:r>
      <w:r>
        <w:t>ula penal de punir o contratante que se obriga e não cumpre, é uma inequívoca sanção pela culpa contratual da obrigação não cumprida.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O autor, ao desistir do plano do consórcio, não pagando mais o que fora pactuado, tornou-se desistente deste plano de con</w:t>
      </w:r>
      <w:r>
        <w:t>sórcio, tendo direito de receber o valor de suas contribuições, somente 30 (trinta) dias após o encerramento do grupo, sem juros e correção monetária, pelo valor histórico de suas contribuições.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É certo que o contrato prevê a desistência, prevendo, entret</w:t>
      </w:r>
      <w:r>
        <w:t>anto, suas formas, quais sejam: através de correspondência endereçada à administradora ou transpasse da cota.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Não pode o consorciado simplesmente retirar-se do consórcio e vir mais tarde reclamar o que pagou, com juros e correção monetária. O que acontece</w:t>
      </w:r>
      <w:r>
        <w:t xml:space="preserve"> quando o consorciado age desta maneira, é que o grupo a que pertence acaba desfalcado de seu numerário e de sua participação no fundo comum, o ônus então é todo transferido para o consórcio. Sob o prisma econômico, e dentro da ordem própria de tais negóci</w:t>
      </w:r>
      <w:r>
        <w:t>os, a ingerência pública acabará por voltar-se contra os próprios pretendentes à participação do consórcio.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A inserção de cláusulas, como esta que prevê a desistência, pelo poder público, não é aleatória, uma vez que desta maneira a ré, defendendo os inte</w:t>
      </w:r>
      <w:r>
        <w:t>resses do grupo e do consorciado retirante, através de seu departamento de vendas, tentará revendê-la, evitando que se verifique a exclusão e a provável substituição; além do consorciado negociar pessoalmente sua cota, como o autorizado pelo Contrato de Ad</w:t>
      </w:r>
      <w:r>
        <w:t>esão. Nos dois casos, o retirante com certeza auferirá lucro, além de não gerar qualquer transtorno ao grupo, uma vez que ele próprio fixará o preço que desejar obter pelo débito já quitado, que não será novamente cobrado do cessionário da cota. Na verdade</w:t>
      </w:r>
      <w:r>
        <w:t>, a autora inadimpliu e excluída do grupo foi, em razão de sua inadimplência.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O contrato de adesão ao sistema, além de não ter suas cláusulas redigidas pela ré, como se verifica na inclusa Portaria 190, nada tem de leonino muito menos a cláusula que trata</w:t>
      </w:r>
      <w:r>
        <w:t xml:space="preserve"> da devolução, estando ela bem como todo o contrato em perfeita consonância com a referida Portaria e em sincronia com a Lei nº 8.078, de 11/09/90, Código de Proteção e Defesa do Consumidor, de expressa ordem pública e interesse social, que por sua naturez</w:t>
      </w:r>
      <w:r>
        <w:t>a é limitante dos princípios da autonomia da vontade, da força vinculante dos contratos e da relatividade das convenções.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A cláusula que trata da devolução não ofende preceito de ordem pública. Tem  clara intenção penal de punir o contratante que se obrig</w:t>
      </w:r>
      <w:r>
        <w:t xml:space="preserve">a e não cumpre, é inequívoca e indiscutivelmente sanção pela culpa contratual do excluído, que deveria adimplir suas obrigações, e não o fez, sendo excluído do grupo, posto que caso revolvesse desistir, na acepção correta da </w:t>
      </w:r>
      <w:r>
        <w:lastRenderedPageBreak/>
        <w:t>palavra, deveria buscar a trans</w:t>
      </w:r>
      <w:r>
        <w:t>ferência da cota a terceiro ou manifestar esta sua intenção, mediante correspondência dirigida à administradora, nos termos do contrato.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Obvia é a intenção do órgão público competente que ditou a  redação da cláusula, de punir ao inadimplente, brandamente</w:t>
      </w:r>
      <w:r>
        <w:t xml:space="preserve"> aliás, ao mesmo tempo que, subsidiariamente, serve a cláusula para ilidir a evasão dos consorciados do grupo.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A cláusula que trata da devolução, assim como todo o contrato, deve ser obedecida, posto que entre as partes contratantes faz lei.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Outrossim, e</w:t>
      </w:r>
      <w:r>
        <w:t>sclarece a ora contestante, que não há tampouco enriquecimento ilícito por parte da ré, pois todos os valores arrecadados pelo grupo, excetuando-se a taxa de administração, ao grupo pertence, inclusive os valores relativos à substituição da cota do excluíd</w:t>
      </w:r>
      <w:r>
        <w:t>o são rateados ao final do grupo, rateio do qual participa inclusive o excluído, proporcionalmente as suas contribuições. Não é correto, portanto, que o inadimplente do contrato, de interesse claramente coletivo, obtenha ressarcimento, em forma de correção</w:t>
      </w:r>
      <w:r>
        <w:t xml:space="preserve"> monetária, por prejuízo que não sofreu, ao contrário, que ele próprio causou aos demais componentes de seu grupo, com sua inadimplência. Sim, porque não é a Administradora que irá arcar com este ressarcimento pleiteado, mas os componentes do grupo de cons</w:t>
      </w:r>
      <w:r>
        <w:t>orciados, que a administradora apenas representa gerindo o consórcio.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Protesta a ré, se necessário fizer, provar a veracidade de suas alegações por todos os meios de prova em direito admitidos especialmente o depoimento pessoal do autor.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Tendo em vista t</w:t>
      </w:r>
      <w:r>
        <w:t>odo o exposto, requer a Ré .... se digne V. Exa. julgar pela improcedência do presente pedido, ou quando muito, reconhecendo que a devolução das importâncias pagas devem ser corrigidas pelos índices oficiais da correção monetária, e que a oportunidade da d</w:t>
      </w:r>
      <w:r>
        <w:t>evolução ocorrerá quando do encerramento do grupo de consórcio, descontando-se desta importância a taxa de administração, pois esta corresponde ao serviço de administração prestado ao consorciado quando ativo no grupo de consórcio a que aderira, condenando</w:t>
      </w:r>
      <w:r>
        <w:t xml:space="preserve"> a autora ao pagamento das verbas de sucumbência.</w:t>
      </w:r>
    </w:p>
    <w:p w:rsidR="00000000" w:rsidRDefault="006C58D1">
      <w:pPr>
        <w:jc w:val="both"/>
      </w:pPr>
    </w:p>
    <w:p w:rsidR="00000000" w:rsidRDefault="006C58D1">
      <w:pPr>
        <w:jc w:val="both"/>
      </w:pPr>
      <w:r>
        <w:t>Termos em que,</w:t>
      </w:r>
    </w:p>
    <w:p w:rsidR="00000000" w:rsidRDefault="006C58D1">
      <w:pPr>
        <w:jc w:val="both"/>
      </w:pPr>
      <w:r>
        <w:t>Pede Deferimento.</w:t>
      </w:r>
    </w:p>
    <w:p w:rsidR="00000000" w:rsidRDefault="006C58D1">
      <w:pPr>
        <w:jc w:val="both"/>
      </w:pPr>
      <w:r>
        <w:t>...., .... de .... de ....</w:t>
      </w:r>
    </w:p>
    <w:p w:rsidR="006C58D1" w:rsidRDefault="006C58D1">
      <w:pPr>
        <w:jc w:val="both"/>
      </w:pPr>
      <w:r>
        <w:t>Advogado OAB/...</w:t>
      </w:r>
    </w:p>
    <w:sectPr w:rsidR="006C58D1">
      <w:pgSz w:w="12242" w:h="17282" w:code="260"/>
      <w:pgMar w:top="1701" w:right="1134" w:bottom="1418" w:left="1701" w:header="709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F7"/>
    <w:rsid w:val="006C58D1"/>
    <w:rsid w:val="00D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6B554-AE2D-4B1C-9BF0-B4F730C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pacing w:val="2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paragraph" w:styleId="Destinatrio">
    <w:name w:val="envelope address"/>
    <w:basedOn w:val="Normal"/>
    <w:uiPriority w:val="99"/>
    <w:pPr>
      <w:keepLines/>
      <w:ind w:left="3240"/>
    </w:pPr>
  </w:style>
  <w:style w:type="paragraph" w:customStyle="1" w:styleId="Nomedaempresa">
    <w:name w:val="Nome da empresa"/>
    <w:basedOn w:val="Corpodetexto"/>
    <w:next w:val="Normal"/>
    <w:uiPriority w:val="99"/>
    <w:pPr>
      <w:spacing w:before="80" w:after="0"/>
      <w:jc w:val="right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 w:cs="Arial"/>
      <w:spacing w:val="2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hd w:val="pct25" w:color="auto" w:fill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Arial" w:hAnsi="Arial" w:cs="Arial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Pretende a ré (empresa de consórcio), em caso de devolução das importâncias pagas pelo autor, que as mesmas sejam corrigidas pelos índices oficiais de correção monetária e que a oportunidade da devolução ocorra quando do encerramento do grupo de consórcio</vt:lpstr>
    </vt:vector>
  </TitlesOfParts>
  <Company> 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 a ré (empresa de consórcio), em caso de devolução das importâncias pagas pelo autor, que as mesmas sejam corrigidas pelos índices oficiais de correção monetária e que a oportunidade da devolução ocorra quando do encerramento do grupo de consórcio</dc:title>
  <dc:subject/>
  <dc:creator>Forum</dc:creator>
  <cp:keywords/>
  <dc:description/>
  <cp:lastModifiedBy>Ragelia Kanawati</cp:lastModifiedBy>
  <cp:revision>2</cp:revision>
  <cp:lastPrinted>1999-03-08T21:40:00Z</cp:lastPrinted>
  <dcterms:created xsi:type="dcterms:W3CDTF">2016-06-03T16:50:00Z</dcterms:created>
  <dcterms:modified xsi:type="dcterms:W3CDTF">2016-06-03T16:50:00Z</dcterms:modified>
</cp:coreProperties>
</file>