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685D3"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EXCELENTÍSSIMO SENHOR DOUTOR JUIZ DE DIREITO DA    VARA CÍVEL DE </w:t>
      </w:r>
      <w:r>
        <w:rPr>
          <w:rFonts w:ascii="Arial" w:hAnsi="Arial" w:cs="Arial"/>
          <w:sz w:val="24"/>
          <w:szCs w:val="24"/>
        </w:rPr>
        <w:t>...</w:t>
      </w:r>
    </w:p>
    <w:p w14:paraId="42E8CC7D" w14:textId="77777777" w:rsidR="0056443A" w:rsidRPr="0056443A" w:rsidRDefault="0056443A" w:rsidP="0056443A">
      <w:pPr>
        <w:jc w:val="both"/>
        <w:rPr>
          <w:rFonts w:ascii="Arial" w:hAnsi="Arial" w:cs="Arial"/>
          <w:sz w:val="24"/>
          <w:szCs w:val="24"/>
        </w:rPr>
      </w:pPr>
    </w:p>
    <w:p w14:paraId="77F9B345" w14:textId="77777777" w:rsidR="0056443A" w:rsidRPr="0056443A" w:rsidRDefault="0056443A" w:rsidP="0056443A">
      <w:pPr>
        <w:jc w:val="both"/>
        <w:rPr>
          <w:rFonts w:ascii="Arial" w:hAnsi="Arial" w:cs="Arial"/>
          <w:sz w:val="24"/>
          <w:szCs w:val="24"/>
        </w:rPr>
      </w:pPr>
    </w:p>
    <w:p w14:paraId="415F526E" w14:textId="77777777" w:rsidR="0056443A" w:rsidRPr="0056443A" w:rsidRDefault="0056443A" w:rsidP="0056443A">
      <w:pPr>
        <w:jc w:val="both"/>
        <w:rPr>
          <w:rFonts w:ascii="Arial" w:hAnsi="Arial" w:cs="Arial"/>
          <w:sz w:val="24"/>
          <w:szCs w:val="24"/>
        </w:rPr>
      </w:pPr>
    </w:p>
    <w:p w14:paraId="00EA2340" w14:textId="77777777" w:rsidR="0056443A" w:rsidRPr="0056443A" w:rsidRDefault="0056443A" w:rsidP="0056443A">
      <w:pPr>
        <w:jc w:val="both"/>
        <w:rPr>
          <w:rFonts w:ascii="Arial" w:hAnsi="Arial" w:cs="Arial"/>
          <w:sz w:val="24"/>
          <w:szCs w:val="24"/>
        </w:rPr>
      </w:pPr>
    </w:p>
    <w:p w14:paraId="31570732" w14:textId="77777777" w:rsidR="0056443A" w:rsidRPr="0056443A" w:rsidRDefault="0056443A" w:rsidP="0056443A">
      <w:pPr>
        <w:jc w:val="both"/>
        <w:rPr>
          <w:rFonts w:ascii="Arial" w:hAnsi="Arial" w:cs="Arial"/>
          <w:sz w:val="24"/>
          <w:szCs w:val="24"/>
        </w:rPr>
      </w:pPr>
    </w:p>
    <w:p w14:paraId="72BBE4C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“Rito Especial” – Força nova – NCPC, </w:t>
      </w:r>
      <w:proofErr w:type="spellStart"/>
      <w:r w:rsidRPr="0056443A">
        <w:rPr>
          <w:rFonts w:ascii="Arial" w:hAnsi="Arial" w:cs="Arial"/>
          <w:sz w:val="24"/>
          <w:szCs w:val="24"/>
        </w:rPr>
        <w:t>art</w:t>
      </w:r>
      <w:proofErr w:type="spellEnd"/>
      <w:r w:rsidRPr="0056443A">
        <w:rPr>
          <w:rFonts w:ascii="Arial" w:hAnsi="Arial" w:cs="Arial"/>
          <w:sz w:val="24"/>
          <w:szCs w:val="24"/>
        </w:rPr>
        <w:t xml:space="preserve"> 558, caput</w:t>
      </w:r>
    </w:p>
    <w:p w14:paraId="2D45776F" w14:textId="77777777" w:rsidR="0056443A" w:rsidRPr="0056443A" w:rsidRDefault="0056443A" w:rsidP="0056443A">
      <w:pPr>
        <w:jc w:val="both"/>
        <w:rPr>
          <w:rFonts w:ascii="Arial" w:hAnsi="Arial" w:cs="Arial"/>
          <w:sz w:val="24"/>
          <w:szCs w:val="24"/>
        </w:rPr>
      </w:pPr>
    </w:p>
    <w:p w14:paraId="5D03AF3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“Formula-se pedido de medida liminar”]</w:t>
      </w:r>
    </w:p>
    <w:p w14:paraId="7165E5A3" w14:textId="77777777" w:rsidR="0056443A" w:rsidRPr="0056443A" w:rsidRDefault="0056443A" w:rsidP="0056443A">
      <w:pPr>
        <w:jc w:val="both"/>
        <w:rPr>
          <w:rFonts w:ascii="Arial" w:hAnsi="Arial" w:cs="Arial"/>
          <w:sz w:val="24"/>
          <w:szCs w:val="24"/>
        </w:rPr>
      </w:pPr>
    </w:p>
    <w:p w14:paraId="6D27867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  </w:t>
      </w:r>
      <w:r w:rsidRPr="0056443A">
        <w:rPr>
          <w:rFonts w:ascii="Arial" w:hAnsi="Arial" w:cs="Arial"/>
          <w:sz w:val="24"/>
          <w:szCs w:val="24"/>
        </w:rPr>
        <w:tab/>
        <w:t xml:space="preserve">CENTRO ESCOLAR PEDRO DE TAL LTDA, pessoa jurídica de direito privado, com sua sede na Rua X, nº. 0000, em Curitiba (PR), inscrita no </w:t>
      </w:r>
      <w:proofErr w:type="gramStart"/>
      <w:r w:rsidRPr="0056443A">
        <w:rPr>
          <w:rFonts w:ascii="Arial" w:hAnsi="Arial" w:cs="Arial"/>
          <w:sz w:val="24"/>
          <w:szCs w:val="24"/>
        </w:rPr>
        <w:t>CNPJ(</w:t>
      </w:r>
      <w:proofErr w:type="gramEnd"/>
      <w:r w:rsidRPr="0056443A">
        <w:rPr>
          <w:rFonts w:ascii="Arial" w:hAnsi="Arial" w:cs="Arial"/>
          <w:sz w:val="24"/>
          <w:szCs w:val="24"/>
        </w:rPr>
        <w:t xml:space="preserve">MF) sob o nº. 00.333.444/0001-55, comparece, com o devido respeito à presença de Vossa Excelência, intermediada por seu mandatário ao final firmado -- instrumento procuratório acostado -- causídico inscrito na Ordem dos Advogados do Brasil, Seção do Paraná, sob o nº. 332211, com seu endereço profissional consignado no timbre desta, onde, em atendimento à diretriz do art. 106, inciso I, do Novo Código de Processo Civil, indica-o para as intimações necessárias, onde vem ajuizar, com fulcro nos art. 560 e segs. </w:t>
      </w:r>
      <w:proofErr w:type="gramStart"/>
      <w:r w:rsidRPr="0056443A">
        <w:rPr>
          <w:rFonts w:ascii="Arial" w:hAnsi="Arial" w:cs="Arial"/>
          <w:sz w:val="24"/>
          <w:szCs w:val="24"/>
        </w:rPr>
        <w:t>c</w:t>
      </w:r>
      <w:proofErr w:type="gramEnd"/>
      <w:r w:rsidRPr="0056443A">
        <w:rPr>
          <w:rFonts w:ascii="Arial" w:hAnsi="Arial" w:cs="Arial"/>
          <w:sz w:val="24"/>
          <w:szCs w:val="24"/>
        </w:rPr>
        <w:t xml:space="preserve">/c art. 558, do Nova Legislação Adjetiva Civil e art. 1210 do Código Civil, a presente </w:t>
      </w:r>
    </w:p>
    <w:p w14:paraId="205D6A01" w14:textId="77777777" w:rsidR="0056443A" w:rsidRPr="0056443A" w:rsidRDefault="0056443A" w:rsidP="0056443A">
      <w:pPr>
        <w:jc w:val="both"/>
        <w:rPr>
          <w:rFonts w:ascii="Arial" w:hAnsi="Arial" w:cs="Arial"/>
          <w:sz w:val="24"/>
          <w:szCs w:val="24"/>
        </w:rPr>
      </w:pPr>
    </w:p>
    <w:p w14:paraId="3AB870D2" w14:textId="77777777" w:rsidR="0056443A" w:rsidRPr="0056443A" w:rsidRDefault="0056443A" w:rsidP="0056443A">
      <w:pPr>
        <w:jc w:val="both"/>
        <w:rPr>
          <w:rFonts w:ascii="Arial" w:hAnsi="Arial" w:cs="Arial"/>
          <w:sz w:val="24"/>
          <w:szCs w:val="24"/>
        </w:rPr>
      </w:pPr>
      <w:bookmarkStart w:id="0" w:name="_GoBack"/>
      <w:r w:rsidRPr="0056443A">
        <w:rPr>
          <w:rFonts w:ascii="Arial" w:hAnsi="Arial" w:cs="Arial"/>
          <w:sz w:val="24"/>
          <w:szCs w:val="24"/>
        </w:rPr>
        <w:t>AÇÃO DE REINTEGRAÇÃO DE POSSE</w:t>
      </w:r>
    </w:p>
    <w:p w14:paraId="50CCF49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C/C</w:t>
      </w:r>
    </w:p>
    <w:p w14:paraId="61CF351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INDENIZAÇÃO E PEDIDO DE “MEDIDA LIMINAR”  </w:t>
      </w:r>
    </w:p>
    <w:bookmarkEnd w:id="0"/>
    <w:p w14:paraId="6533B792" w14:textId="77777777" w:rsidR="0056443A" w:rsidRPr="0056443A" w:rsidRDefault="0056443A" w:rsidP="0056443A">
      <w:pPr>
        <w:jc w:val="both"/>
        <w:rPr>
          <w:rFonts w:ascii="Arial" w:hAnsi="Arial" w:cs="Arial"/>
          <w:sz w:val="24"/>
          <w:szCs w:val="24"/>
        </w:rPr>
      </w:pPr>
    </w:p>
    <w:p w14:paraId="0C16598C" w14:textId="77777777" w:rsidR="0056443A" w:rsidRPr="0056443A" w:rsidRDefault="0056443A" w:rsidP="0056443A">
      <w:pPr>
        <w:jc w:val="both"/>
        <w:rPr>
          <w:rFonts w:ascii="Arial" w:hAnsi="Arial" w:cs="Arial"/>
          <w:sz w:val="24"/>
          <w:szCs w:val="24"/>
        </w:rPr>
      </w:pPr>
    </w:p>
    <w:p w14:paraId="50760CDA"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contra</w:t>
      </w:r>
      <w:proofErr w:type="gramEnd"/>
      <w:r w:rsidRPr="0056443A">
        <w:rPr>
          <w:rFonts w:ascii="Arial" w:hAnsi="Arial" w:cs="Arial"/>
          <w:sz w:val="24"/>
          <w:szCs w:val="24"/>
        </w:rPr>
        <w:t xml:space="preserve"> </w:t>
      </w:r>
    </w:p>
    <w:p w14:paraId="5BD7DB7D" w14:textId="77777777" w:rsidR="0056443A" w:rsidRPr="0056443A" w:rsidRDefault="0056443A" w:rsidP="0056443A">
      <w:pPr>
        <w:jc w:val="both"/>
        <w:rPr>
          <w:rFonts w:ascii="Arial" w:hAnsi="Arial" w:cs="Arial"/>
          <w:sz w:val="24"/>
          <w:szCs w:val="24"/>
        </w:rPr>
      </w:pPr>
    </w:p>
    <w:p w14:paraId="030C3184"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( 01</w:t>
      </w:r>
      <w:proofErr w:type="gramEnd"/>
      <w:r w:rsidRPr="0056443A">
        <w:rPr>
          <w:rFonts w:ascii="Arial" w:hAnsi="Arial" w:cs="Arial"/>
          <w:sz w:val="24"/>
          <w:szCs w:val="24"/>
        </w:rPr>
        <w:t xml:space="preserve"> )  LABORATÓRIO DE ANÁLISES CLÍNICAS ZETA LTDA, pessoa jurídica de direito privado, estabelecida na </w:t>
      </w:r>
      <w:proofErr w:type="spellStart"/>
      <w:r w:rsidRPr="0056443A">
        <w:rPr>
          <w:rFonts w:ascii="Arial" w:hAnsi="Arial" w:cs="Arial"/>
          <w:sz w:val="24"/>
          <w:szCs w:val="24"/>
        </w:rPr>
        <w:t>na</w:t>
      </w:r>
      <w:proofErr w:type="spellEnd"/>
      <w:r w:rsidRPr="0056443A">
        <w:rPr>
          <w:rFonts w:ascii="Arial" w:hAnsi="Arial" w:cs="Arial"/>
          <w:sz w:val="24"/>
          <w:szCs w:val="24"/>
        </w:rPr>
        <w:t xml:space="preserve"> Av. Y, nº. 0000, em Curitiba (PR) – CEP nº. 33444-555, inscrita no </w:t>
      </w:r>
      <w:proofErr w:type="gramStart"/>
      <w:r w:rsidRPr="0056443A">
        <w:rPr>
          <w:rFonts w:ascii="Arial" w:hAnsi="Arial" w:cs="Arial"/>
          <w:sz w:val="24"/>
          <w:szCs w:val="24"/>
        </w:rPr>
        <w:t>CNPJ(</w:t>
      </w:r>
      <w:proofErr w:type="gramEnd"/>
      <w:r w:rsidRPr="0056443A">
        <w:rPr>
          <w:rFonts w:ascii="Arial" w:hAnsi="Arial" w:cs="Arial"/>
          <w:sz w:val="24"/>
          <w:szCs w:val="24"/>
        </w:rPr>
        <w:t xml:space="preserve">MF) sob o nº. 33.444.555/0001-66 </w:t>
      </w:r>
    </w:p>
    <w:p w14:paraId="05D44609" w14:textId="77777777" w:rsidR="0056443A" w:rsidRPr="0056443A" w:rsidRDefault="0056443A" w:rsidP="0056443A">
      <w:pPr>
        <w:jc w:val="both"/>
        <w:rPr>
          <w:rFonts w:ascii="Arial" w:hAnsi="Arial" w:cs="Arial"/>
          <w:sz w:val="24"/>
          <w:szCs w:val="24"/>
        </w:rPr>
      </w:pPr>
    </w:p>
    <w:p w14:paraId="3B8F79C6"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em</w:t>
      </w:r>
      <w:proofErr w:type="gramEnd"/>
      <w:r w:rsidRPr="0056443A">
        <w:rPr>
          <w:rFonts w:ascii="Arial" w:hAnsi="Arial" w:cs="Arial"/>
          <w:sz w:val="24"/>
          <w:szCs w:val="24"/>
        </w:rPr>
        <w:t xml:space="preserve"> decorrência das justificativas de ordem fática e de direito abaixo delineadas.</w:t>
      </w:r>
    </w:p>
    <w:p w14:paraId="0A3F7BBD" w14:textId="77777777" w:rsidR="0056443A" w:rsidRPr="0056443A" w:rsidRDefault="0056443A" w:rsidP="0056443A">
      <w:pPr>
        <w:jc w:val="both"/>
        <w:rPr>
          <w:rFonts w:ascii="Arial" w:hAnsi="Arial" w:cs="Arial"/>
          <w:sz w:val="24"/>
          <w:szCs w:val="24"/>
        </w:rPr>
      </w:pPr>
    </w:p>
    <w:p w14:paraId="407AAB8C" w14:textId="77777777" w:rsidR="0056443A" w:rsidRPr="0056443A" w:rsidRDefault="0056443A" w:rsidP="0056443A">
      <w:pPr>
        <w:jc w:val="both"/>
        <w:rPr>
          <w:rFonts w:ascii="Arial" w:hAnsi="Arial" w:cs="Arial"/>
          <w:sz w:val="24"/>
          <w:szCs w:val="24"/>
        </w:rPr>
      </w:pPr>
    </w:p>
    <w:p w14:paraId="3D13E1F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(1) – DO QUADRO FÁTICO </w:t>
      </w:r>
    </w:p>
    <w:p w14:paraId="3ECFAA5A"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p>
    <w:p w14:paraId="3FC7035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A Autora adquiriu da Ré, na data de 11/22/333, o imóvel sito na Rua X, nº. 000, em Curitiba (PR), objeto da matrícula de registro imobiliário nº. 3344. Pelo referido bem, a Promovente </w:t>
      </w:r>
      <w:proofErr w:type="spellStart"/>
      <w:r w:rsidRPr="0056443A">
        <w:rPr>
          <w:rFonts w:ascii="Arial" w:hAnsi="Arial" w:cs="Arial"/>
          <w:sz w:val="24"/>
          <w:szCs w:val="24"/>
        </w:rPr>
        <w:t>pagara</w:t>
      </w:r>
      <w:proofErr w:type="spellEnd"/>
      <w:r w:rsidRPr="0056443A">
        <w:rPr>
          <w:rFonts w:ascii="Arial" w:hAnsi="Arial" w:cs="Arial"/>
          <w:sz w:val="24"/>
          <w:szCs w:val="24"/>
        </w:rPr>
        <w:t xml:space="preserve">, em moeda corrente nacional, a quantia de R$ 00.000,00 </w:t>
      </w:r>
      <w:proofErr w:type="gramStart"/>
      <w:r w:rsidRPr="0056443A">
        <w:rPr>
          <w:rFonts w:ascii="Arial" w:hAnsi="Arial" w:cs="Arial"/>
          <w:sz w:val="24"/>
          <w:szCs w:val="24"/>
        </w:rPr>
        <w:t>( .</w:t>
      </w:r>
      <w:proofErr w:type="spellStart"/>
      <w:proofErr w:type="gramEnd"/>
      <w:r w:rsidRPr="0056443A">
        <w:rPr>
          <w:rFonts w:ascii="Arial" w:hAnsi="Arial" w:cs="Arial"/>
          <w:sz w:val="24"/>
          <w:szCs w:val="24"/>
        </w:rPr>
        <w:t>x.x.x</w:t>
      </w:r>
      <w:proofErr w:type="spellEnd"/>
      <w:r w:rsidRPr="0056443A">
        <w:rPr>
          <w:rFonts w:ascii="Arial" w:hAnsi="Arial" w:cs="Arial"/>
          <w:sz w:val="24"/>
          <w:szCs w:val="24"/>
        </w:rPr>
        <w:t>. ), o que comprova-se pela cópia da escritura pública e certidão de registro de imóvel, já devidamente registrado em nome da Autora. (</w:t>
      </w:r>
      <w:proofErr w:type="gramStart"/>
      <w:r w:rsidRPr="0056443A">
        <w:rPr>
          <w:rFonts w:ascii="Arial" w:hAnsi="Arial" w:cs="Arial"/>
          <w:sz w:val="24"/>
          <w:szCs w:val="24"/>
        </w:rPr>
        <w:t>docs</w:t>
      </w:r>
      <w:proofErr w:type="gramEnd"/>
      <w:r w:rsidRPr="0056443A">
        <w:rPr>
          <w:rFonts w:ascii="Arial" w:hAnsi="Arial" w:cs="Arial"/>
          <w:sz w:val="24"/>
          <w:szCs w:val="24"/>
        </w:rPr>
        <w:t>. 01/02</w:t>
      </w:r>
      <w:proofErr w:type="gramStart"/>
      <w:r w:rsidRPr="0056443A">
        <w:rPr>
          <w:rFonts w:ascii="Arial" w:hAnsi="Arial" w:cs="Arial"/>
          <w:sz w:val="24"/>
          <w:szCs w:val="24"/>
        </w:rPr>
        <w:t>) Referido</w:t>
      </w:r>
      <w:proofErr w:type="gramEnd"/>
      <w:r w:rsidRPr="0056443A">
        <w:rPr>
          <w:rFonts w:ascii="Arial" w:hAnsi="Arial" w:cs="Arial"/>
          <w:sz w:val="24"/>
          <w:szCs w:val="24"/>
        </w:rPr>
        <w:t xml:space="preserve"> valor compreende o preço total do imóvel em questão.</w:t>
      </w:r>
    </w:p>
    <w:p w14:paraId="50D7960A" w14:textId="77777777" w:rsidR="0056443A" w:rsidRPr="0056443A" w:rsidRDefault="0056443A" w:rsidP="0056443A">
      <w:pPr>
        <w:jc w:val="both"/>
        <w:rPr>
          <w:rFonts w:ascii="Arial" w:hAnsi="Arial" w:cs="Arial"/>
          <w:sz w:val="24"/>
          <w:szCs w:val="24"/>
        </w:rPr>
      </w:pPr>
    </w:p>
    <w:p w14:paraId="79A3E66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Da escritura pública, supramencionada, constata-se que há cláusula de transferência da posse e propriedade, mediante o pagamento final do valor acertado:</w:t>
      </w:r>
    </w:p>
    <w:p w14:paraId="1FCA14E5" w14:textId="77777777" w:rsidR="0056443A" w:rsidRPr="0056443A" w:rsidRDefault="0056443A" w:rsidP="0056443A">
      <w:pPr>
        <w:jc w:val="both"/>
        <w:rPr>
          <w:rFonts w:ascii="Arial" w:hAnsi="Arial" w:cs="Arial"/>
          <w:sz w:val="24"/>
          <w:szCs w:val="24"/>
        </w:rPr>
      </w:pPr>
    </w:p>
    <w:p w14:paraId="2690603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“Cláusula 17 – Com o pagamento do preço acertado, transferem-se à adquirente a posse e propriedade do imóvel descrito na cláusula 2. </w:t>
      </w:r>
    </w:p>
    <w:p w14:paraId="0BC73130" w14:textId="77777777" w:rsidR="0056443A" w:rsidRPr="0056443A" w:rsidRDefault="0056443A" w:rsidP="0056443A">
      <w:pPr>
        <w:jc w:val="both"/>
        <w:rPr>
          <w:rFonts w:ascii="Arial" w:hAnsi="Arial" w:cs="Arial"/>
          <w:sz w:val="24"/>
          <w:szCs w:val="24"/>
        </w:rPr>
      </w:pPr>
    </w:p>
    <w:p w14:paraId="73B6BBC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1º - </w:t>
      </w:r>
      <w:proofErr w:type="spellStart"/>
      <w:r w:rsidRPr="0056443A">
        <w:rPr>
          <w:rFonts w:ascii="Arial" w:hAnsi="Arial" w:cs="Arial"/>
          <w:sz w:val="24"/>
          <w:szCs w:val="24"/>
        </w:rPr>
        <w:t>Anue</w:t>
      </w:r>
      <w:proofErr w:type="spellEnd"/>
      <w:r w:rsidRPr="0056443A">
        <w:rPr>
          <w:rFonts w:ascii="Arial" w:hAnsi="Arial" w:cs="Arial"/>
          <w:sz w:val="24"/>
          <w:szCs w:val="24"/>
        </w:rPr>
        <w:t xml:space="preserve"> a adquirente que a vendedora ficará no imóvel por prazo não superior a 30 (trinta) dias, contados da data do pagamento acima mencionado. “ </w:t>
      </w:r>
    </w:p>
    <w:p w14:paraId="444F9E9C" w14:textId="77777777" w:rsidR="0056443A" w:rsidRPr="0056443A" w:rsidRDefault="0056443A" w:rsidP="0056443A">
      <w:pPr>
        <w:jc w:val="both"/>
        <w:rPr>
          <w:rFonts w:ascii="Arial" w:hAnsi="Arial" w:cs="Arial"/>
          <w:sz w:val="24"/>
          <w:szCs w:val="24"/>
        </w:rPr>
      </w:pPr>
    </w:p>
    <w:p w14:paraId="3D849951" w14:textId="77777777" w:rsidR="0056443A" w:rsidRPr="0056443A" w:rsidRDefault="0056443A" w:rsidP="0056443A">
      <w:pPr>
        <w:jc w:val="both"/>
        <w:rPr>
          <w:rFonts w:ascii="Arial" w:hAnsi="Arial" w:cs="Arial"/>
          <w:sz w:val="24"/>
          <w:szCs w:val="24"/>
        </w:rPr>
      </w:pPr>
    </w:p>
    <w:p w14:paraId="22FA9FA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Todavia, superado o prazo contratualmente ajustado, a Ré não entregara o imóvel adquirido à Autora, em que pese, como dito, haver recebido o preço total da avença. </w:t>
      </w:r>
      <w:r w:rsidRPr="0056443A">
        <w:rPr>
          <w:rFonts w:ascii="Arial" w:hAnsi="Arial" w:cs="Arial"/>
          <w:sz w:val="24"/>
          <w:szCs w:val="24"/>
        </w:rPr>
        <w:tab/>
      </w:r>
      <w:r w:rsidRPr="0056443A">
        <w:rPr>
          <w:rFonts w:ascii="Arial" w:hAnsi="Arial" w:cs="Arial"/>
          <w:sz w:val="24"/>
          <w:szCs w:val="24"/>
        </w:rPr>
        <w:tab/>
      </w:r>
    </w:p>
    <w:p w14:paraId="03CC953B" w14:textId="77777777" w:rsidR="0056443A" w:rsidRPr="0056443A" w:rsidRDefault="0056443A" w:rsidP="0056443A">
      <w:pPr>
        <w:jc w:val="both"/>
        <w:rPr>
          <w:rFonts w:ascii="Arial" w:hAnsi="Arial" w:cs="Arial"/>
          <w:sz w:val="24"/>
          <w:szCs w:val="24"/>
        </w:rPr>
      </w:pPr>
    </w:p>
    <w:p w14:paraId="5A85A2B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Em conta desse fato, a Autora notificou a Ré a entregar o imóvel adquirido no prazo de 10 (dez) dias úteis, sob pena de sofrer ação judicial e pagar indenização pelo período de utilização indevida do imóvel. (</w:t>
      </w:r>
      <w:proofErr w:type="gramStart"/>
      <w:r w:rsidRPr="0056443A">
        <w:rPr>
          <w:rFonts w:ascii="Arial" w:hAnsi="Arial" w:cs="Arial"/>
          <w:sz w:val="24"/>
          <w:szCs w:val="24"/>
        </w:rPr>
        <w:t>doc.</w:t>
      </w:r>
      <w:proofErr w:type="gramEnd"/>
      <w:r w:rsidRPr="0056443A">
        <w:rPr>
          <w:rFonts w:ascii="Arial" w:hAnsi="Arial" w:cs="Arial"/>
          <w:sz w:val="24"/>
          <w:szCs w:val="24"/>
        </w:rPr>
        <w:t xml:space="preserve"> 03)</w:t>
      </w:r>
    </w:p>
    <w:p w14:paraId="53BF4B39" w14:textId="77777777" w:rsidR="0056443A" w:rsidRPr="0056443A" w:rsidRDefault="0056443A" w:rsidP="0056443A">
      <w:pPr>
        <w:jc w:val="both"/>
        <w:rPr>
          <w:rFonts w:ascii="Arial" w:hAnsi="Arial" w:cs="Arial"/>
          <w:sz w:val="24"/>
          <w:szCs w:val="24"/>
        </w:rPr>
      </w:pPr>
    </w:p>
    <w:p w14:paraId="6CB5AB43"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Contudo, decorrido o prazo concedido, a Ré quedou-se inerte, permanecendo, injustamente, na posse do imóvel. </w:t>
      </w:r>
    </w:p>
    <w:p w14:paraId="10781637" w14:textId="77777777" w:rsidR="0056443A" w:rsidRPr="0056443A" w:rsidRDefault="0056443A" w:rsidP="0056443A">
      <w:pPr>
        <w:jc w:val="both"/>
        <w:rPr>
          <w:rFonts w:ascii="Arial" w:hAnsi="Arial" w:cs="Arial"/>
          <w:sz w:val="24"/>
          <w:szCs w:val="24"/>
        </w:rPr>
      </w:pPr>
    </w:p>
    <w:p w14:paraId="69F8EC9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lastRenderedPageBreak/>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Por tudo isso, não restou à Autora outra alternativa senão buscar seus direitos por meio da presente Ação de Reintegração de Posse. (NCPC, art. 17)</w:t>
      </w:r>
    </w:p>
    <w:p w14:paraId="0D99F218" w14:textId="77777777" w:rsidR="0056443A" w:rsidRPr="0056443A" w:rsidRDefault="0056443A" w:rsidP="0056443A">
      <w:pPr>
        <w:jc w:val="both"/>
        <w:rPr>
          <w:rFonts w:ascii="Arial" w:hAnsi="Arial" w:cs="Arial"/>
          <w:sz w:val="24"/>
          <w:szCs w:val="24"/>
        </w:rPr>
      </w:pPr>
    </w:p>
    <w:p w14:paraId="65E938E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(2) – DO DIREITO</w:t>
      </w:r>
    </w:p>
    <w:p w14:paraId="3F38692E" w14:textId="77777777" w:rsidR="0056443A" w:rsidRPr="0056443A" w:rsidRDefault="0056443A" w:rsidP="0056443A">
      <w:pPr>
        <w:jc w:val="both"/>
        <w:rPr>
          <w:rFonts w:ascii="Arial" w:hAnsi="Arial" w:cs="Arial"/>
          <w:sz w:val="24"/>
          <w:szCs w:val="24"/>
        </w:rPr>
      </w:pPr>
    </w:p>
    <w:p w14:paraId="7227E83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(2.1.) – DA COMPETÊNCIA </w:t>
      </w:r>
    </w:p>
    <w:p w14:paraId="0003A1E1" w14:textId="77777777" w:rsidR="0056443A" w:rsidRPr="0056443A" w:rsidRDefault="0056443A" w:rsidP="0056443A">
      <w:pPr>
        <w:jc w:val="both"/>
        <w:rPr>
          <w:rFonts w:ascii="Arial" w:hAnsi="Arial" w:cs="Arial"/>
          <w:sz w:val="24"/>
          <w:szCs w:val="24"/>
        </w:rPr>
      </w:pPr>
    </w:p>
    <w:p w14:paraId="2665F4C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p>
    <w:p w14:paraId="306D41E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Urge asseverar, primeiramente, que o Autor promove a presente ação no foro territorial competente, visto que o imóvel em liça </w:t>
      </w:r>
      <w:proofErr w:type="gramStart"/>
      <w:r w:rsidRPr="0056443A">
        <w:rPr>
          <w:rFonts w:ascii="Arial" w:hAnsi="Arial" w:cs="Arial"/>
          <w:sz w:val="24"/>
          <w:szCs w:val="24"/>
        </w:rPr>
        <w:t>situa-se</w:t>
      </w:r>
      <w:proofErr w:type="gramEnd"/>
      <w:r w:rsidRPr="0056443A">
        <w:rPr>
          <w:rFonts w:ascii="Arial" w:hAnsi="Arial" w:cs="Arial"/>
          <w:sz w:val="24"/>
          <w:szCs w:val="24"/>
        </w:rPr>
        <w:t xml:space="preserve"> na Rua X, nº. 000, nesta Capital. </w:t>
      </w:r>
    </w:p>
    <w:p w14:paraId="6A870683" w14:textId="77777777" w:rsidR="0056443A" w:rsidRPr="0056443A" w:rsidRDefault="0056443A" w:rsidP="0056443A">
      <w:pPr>
        <w:jc w:val="both"/>
        <w:rPr>
          <w:rFonts w:ascii="Arial" w:hAnsi="Arial" w:cs="Arial"/>
          <w:sz w:val="24"/>
          <w:szCs w:val="24"/>
        </w:rPr>
      </w:pPr>
    </w:p>
    <w:p w14:paraId="5911B6E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NOVO CÓDIGO DE PROCESSO CIVIL</w:t>
      </w:r>
    </w:p>
    <w:p w14:paraId="17A1AB76" w14:textId="77777777" w:rsidR="0056443A" w:rsidRPr="0056443A" w:rsidRDefault="0056443A" w:rsidP="0056443A">
      <w:pPr>
        <w:jc w:val="both"/>
        <w:rPr>
          <w:rFonts w:ascii="Arial" w:hAnsi="Arial" w:cs="Arial"/>
          <w:sz w:val="24"/>
          <w:szCs w:val="24"/>
        </w:rPr>
      </w:pPr>
    </w:p>
    <w:p w14:paraId="303B798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Art. 47 - Para as ações fundadas em direito real sobre imóveis é competente o foro de situação da coisa.</w:t>
      </w:r>
    </w:p>
    <w:p w14:paraId="74B2EC16" w14:textId="77777777" w:rsidR="0056443A" w:rsidRPr="0056443A" w:rsidRDefault="0056443A" w:rsidP="0056443A">
      <w:pPr>
        <w:jc w:val="both"/>
        <w:rPr>
          <w:rFonts w:ascii="Arial" w:hAnsi="Arial" w:cs="Arial"/>
          <w:sz w:val="24"/>
          <w:szCs w:val="24"/>
        </w:rPr>
      </w:pPr>
    </w:p>
    <w:p w14:paraId="0F180E5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(2.2.) – DO RITO PROCESUAL DESTA DEMANDA  </w:t>
      </w:r>
    </w:p>
    <w:p w14:paraId="28EAED4F" w14:textId="77777777" w:rsidR="0056443A" w:rsidRPr="0056443A" w:rsidRDefault="0056443A" w:rsidP="0056443A">
      <w:pPr>
        <w:jc w:val="both"/>
        <w:rPr>
          <w:rFonts w:ascii="Arial" w:hAnsi="Arial" w:cs="Arial"/>
          <w:sz w:val="24"/>
          <w:szCs w:val="24"/>
        </w:rPr>
      </w:pPr>
    </w:p>
    <w:p w14:paraId="579EB10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Destaca-se que a presente ação fora ajuizada no dia 11/22/3333. De outro bordo, a notificação da Ré para desocupar o imóvel – portanto, o esbulho – ocorrera no dia 22/33/1111. (</w:t>
      </w:r>
      <w:proofErr w:type="gramStart"/>
      <w:r w:rsidRPr="0056443A">
        <w:rPr>
          <w:rFonts w:ascii="Arial" w:hAnsi="Arial" w:cs="Arial"/>
          <w:sz w:val="24"/>
          <w:szCs w:val="24"/>
        </w:rPr>
        <w:t>doc.</w:t>
      </w:r>
      <w:proofErr w:type="gramEnd"/>
      <w:r w:rsidRPr="0056443A">
        <w:rPr>
          <w:rFonts w:ascii="Arial" w:hAnsi="Arial" w:cs="Arial"/>
          <w:sz w:val="24"/>
          <w:szCs w:val="24"/>
        </w:rPr>
        <w:t xml:space="preserve"> 03) O rito, destarte, é especial, uma vez que a ofensa ao direito da Autora ocorrera em menos de ano e dia (posse nova – NCPC, art. 558, caput). </w:t>
      </w:r>
    </w:p>
    <w:p w14:paraId="7DFA8F17" w14:textId="77777777" w:rsidR="0056443A" w:rsidRPr="0056443A" w:rsidRDefault="0056443A" w:rsidP="0056443A">
      <w:pPr>
        <w:jc w:val="both"/>
        <w:rPr>
          <w:rFonts w:ascii="Arial" w:hAnsi="Arial" w:cs="Arial"/>
          <w:sz w:val="24"/>
          <w:szCs w:val="24"/>
        </w:rPr>
      </w:pPr>
    </w:p>
    <w:p w14:paraId="105069F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A propósito, vejamos os seguintes julgados:</w:t>
      </w:r>
    </w:p>
    <w:p w14:paraId="77FE8923" w14:textId="77777777" w:rsidR="0056443A" w:rsidRPr="0056443A" w:rsidRDefault="0056443A" w:rsidP="0056443A">
      <w:pPr>
        <w:jc w:val="both"/>
        <w:rPr>
          <w:rFonts w:ascii="Arial" w:hAnsi="Arial" w:cs="Arial"/>
          <w:sz w:val="24"/>
          <w:szCs w:val="24"/>
        </w:rPr>
      </w:pPr>
    </w:p>
    <w:p w14:paraId="7AE0047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POSSESSÓRIA. REINTEGRAÇÃO DE POSSE. PETIÇÃO INICIAL. DESCUMPRIMENTO DO DISPOSTO NO ART. 927, INCISO III, DO CPC. INOCORRÊNCIA. AÇÃO DE FORÇA VELHA, PROCESSADA PELO RITO ORDINÁRIO. PROVA DA DATA DO ESBULHO SÓ NECESSÁRIA SE O INTERDITO POSSESSORIO É PROCESSADO PELO RITO ESPECIAL, COM FUNDAMENTO EM FORÇA NOVA, POR MEIO DO QUAL SE ADMITE MEDIDA LIMINAR. EXEGESE DO ART. 924 DO CPC. PRESCRIÇÃO EXTINTIVA. INOCORRÊNCIA. ABANDONO INEXISTENTE. PRESCRIÇÃO AQUISITIVA, </w:t>
      </w:r>
      <w:r w:rsidRPr="0056443A">
        <w:rPr>
          <w:rFonts w:ascii="Arial" w:hAnsi="Arial" w:cs="Arial"/>
          <w:sz w:val="24"/>
          <w:szCs w:val="24"/>
        </w:rPr>
        <w:lastRenderedPageBreak/>
        <w:t xml:space="preserve">DA QUAL DECORRE A EXTINTIVA, INVIÁVEL AO DETENTOR E POSSUIDOR IMPRÓPRIO. EDICULA CONSTRUÍDA EM TERRENO ONDE, COM O PASSAR DO TEMPO, FOI EDIFIÇADO UM PRÉDIO DE APARTAMENTOS. </w:t>
      </w:r>
    </w:p>
    <w:p w14:paraId="7F173F4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Instituição do condomínio edilício e manutenção da </w:t>
      </w:r>
      <w:proofErr w:type="spellStart"/>
      <w:r w:rsidRPr="0056443A">
        <w:rPr>
          <w:rFonts w:ascii="Arial" w:hAnsi="Arial" w:cs="Arial"/>
          <w:sz w:val="24"/>
          <w:szCs w:val="24"/>
        </w:rPr>
        <w:t>edicula</w:t>
      </w:r>
      <w:proofErr w:type="spellEnd"/>
      <w:r w:rsidRPr="0056443A">
        <w:rPr>
          <w:rFonts w:ascii="Arial" w:hAnsi="Arial" w:cs="Arial"/>
          <w:sz w:val="24"/>
          <w:szCs w:val="24"/>
        </w:rPr>
        <w:t xml:space="preserve">, que passou a ocupar parte da área comum do condomínio, insuscetível de divisão ou alienação destacada das respectivas unidades (art. 3º da Lei n. 4.591/64). Posse imprópria e relativa do réu, desde o início vinculada à cessão, a título gratuito, </w:t>
      </w:r>
      <w:proofErr w:type="spellStart"/>
      <w:r w:rsidRPr="0056443A">
        <w:rPr>
          <w:rFonts w:ascii="Arial" w:hAnsi="Arial" w:cs="Arial"/>
          <w:sz w:val="24"/>
          <w:szCs w:val="24"/>
        </w:rPr>
        <w:t>manif</w:t>
      </w:r>
      <w:proofErr w:type="spellEnd"/>
      <w:r w:rsidRPr="0056443A">
        <w:rPr>
          <w:rFonts w:ascii="Arial" w:hAnsi="Arial" w:cs="Arial"/>
          <w:sz w:val="24"/>
          <w:szCs w:val="24"/>
        </w:rPr>
        <w:t xml:space="preserve"> ES </w:t>
      </w:r>
      <w:proofErr w:type="spellStart"/>
      <w:r w:rsidRPr="0056443A">
        <w:rPr>
          <w:rFonts w:ascii="Arial" w:hAnsi="Arial" w:cs="Arial"/>
          <w:sz w:val="24"/>
          <w:szCs w:val="24"/>
        </w:rPr>
        <w:t>tada</w:t>
      </w:r>
      <w:proofErr w:type="spellEnd"/>
      <w:r w:rsidRPr="0056443A">
        <w:rPr>
          <w:rFonts w:ascii="Arial" w:hAnsi="Arial" w:cs="Arial"/>
          <w:sz w:val="24"/>
          <w:szCs w:val="24"/>
        </w:rPr>
        <w:t xml:space="preserve"> pelo tio e empreendedor da obra. Intelecção do art. 487 do Código Civil de 1916 e do art. 1.198 do Código atual. Inviabilidade de o mero detentor transformar "ex arbítrio" a posse imprópria, non domino", em posse qualificada para usucapião. Má-fé se o possuidor, desde sempre, não ignorava a precariedade da posse. Apelação. Singela e cômoda repetição dos argumentos expostos em contestação. Pretensão recursal solucionada em decisão saneadora, não hostilizada por agravo retido ou de instrumento, a teor do disposto no art. 522, caput, do CPC. Unicidade recursal. Preclusão temporal reconhecida. Recurso não conhecido nessa parte e desprovido. (TJSP; </w:t>
      </w:r>
      <w:proofErr w:type="spellStart"/>
      <w:r w:rsidRPr="0056443A">
        <w:rPr>
          <w:rFonts w:ascii="Arial" w:hAnsi="Arial" w:cs="Arial"/>
          <w:sz w:val="24"/>
          <w:szCs w:val="24"/>
        </w:rPr>
        <w:t>EDcl</w:t>
      </w:r>
      <w:proofErr w:type="spellEnd"/>
      <w:r w:rsidRPr="0056443A">
        <w:rPr>
          <w:rFonts w:ascii="Arial" w:hAnsi="Arial" w:cs="Arial"/>
          <w:sz w:val="24"/>
          <w:szCs w:val="24"/>
        </w:rPr>
        <w:t xml:space="preserve"> 0084275-67.2009.8.26.0000/50001; Ac. 7334798; São Paulo; Décima Segunda Câmara de Direito Privado; Rel. Des. Cerqueira Leite; </w:t>
      </w:r>
      <w:proofErr w:type="spellStart"/>
      <w:r w:rsidRPr="0056443A">
        <w:rPr>
          <w:rFonts w:ascii="Arial" w:hAnsi="Arial" w:cs="Arial"/>
          <w:sz w:val="24"/>
          <w:szCs w:val="24"/>
        </w:rPr>
        <w:t>Julg</w:t>
      </w:r>
      <w:proofErr w:type="spellEnd"/>
      <w:r w:rsidRPr="0056443A">
        <w:rPr>
          <w:rFonts w:ascii="Arial" w:hAnsi="Arial" w:cs="Arial"/>
          <w:sz w:val="24"/>
          <w:szCs w:val="24"/>
        </w:rPr>
        <w:t>. 13/11/2013; DJESP 20/02/2014)</w:t>
      </w:r>
    </w:p>
    <w:p w14:paraId="39E3C470" w14:textId="77777777" w:rsidR="0056443A" w:rsidRPr="0056443A" w:rsidRDefault="0056443A" w:rsidP="0056443A">
      <w:pPr>
        <w:jc w:val="both"/>
        <w:rPr>
          <w:rFonts w:ascii="Arial" w:hAnsi="Arial" w:cs="Arial"/>
          <w:sz w:val="24"/>
          <w:szCs w:val="24"/>
        </w:rPr>
      </w:pPr>
    </w:p>
    <w:p w14:paraId="71F3CC5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AGRAVO DE INSTRUMENTO. AÇÃO POSSESSÓRIA. REINTEGRAÇÃO DE POSSE. LIMINAR DEFERIDA. PRESENTES OS REQUISITOS DO ART. 927, DO CÓDIGO DE PROCESSO CIVIL. DIREITO DOMINIAL. RECURSO CONHECIDO E NÃO PROVIDO. </w:t>
      </w:r>
    </w:p>
    <w:p w14:paraId="30F2DC4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Para o deferimento da liminar de reintegração de posse, em se tratando de ação de força espoliativa nova, basta que o requerente comprove sua posse, o esbulho, e data de sua ocorrência, que deverá ser de menos de ano e dia, sendo, portanto irrelevante a alegação da parte contrária de que detém o domínio do bem objeto da lide. Outrossim, é fato notório que as ações possessórias seguem o rito especial previsto no art. 920 e seguintes do CPC, e tem por escopo assegurar ao possuidor direito ou indireto, o direito de ser mantido ou reintegrado na posse, quando ocorrer a turbação ou o esbulho, sendo irrelevante a discussão acerca do direito de propriedade que deverá ser decidido em ação própria. (TJMG; AI 1.0079.13.083319-1/001; Rel. Des. Alexandre Santiago; </w:t>
      </w:r>
      <w:proofErr w:type="spellStart"/>
      <w:r w:rsidRPr="0056443A">
        <w:rPr>
          <w:rFonts w:ascii="Arial" w:hAnsi="Arial" w:cs="Arial"/>
          <w:sz w:val="24"/>
          <w:szCs w:val="24"/>
        </w:rPr>
        <w:t>Julg</w:t>
      </w:r>
      <w:proofErr w:type="spellEnd"/>
      <w:r w:rsidRPr="0056443A">
        <w:rPr>
          <w:rFonts w:ascii="Arial" w:hAnsi="Arial" w:cs="Arial"/>
          <w:sz w:val="24"/>
          <w:szCs w:val="24"/>
        </w:rPr>
        <w:t>. 13/08/2014; DJEMG 21/08/2014)</w:t>
      </w:r>
    </w:p>
    <w:p w14:paraId="6FFA66E3" w14:textId="77777777" w:rsidR="0056443A" w:rsidRPr="0056443A" w:rsidRDefault="0056443A" w:rsidP="0056443A">
      <w:pPr>
        <w:jc w:val="both"/>
        <w:rPr>
          <w:rFonts w:ascii="Arial" w:hAnsi="Arial" w:cs="Arial"/>
          <w:sz w:val="24"/>
          <w:szCs w:val="24"/>
        </w:rPr>
      </w:pPr>
    </w:p>
    <w:p w14:paraId="744A0866" w14:textId="77777777" w:rsidR="0056443A" w:rsidRPr="0056443A" w:rsidRDefault="0056443A" w:rsidP="0056443A">
      <w:pPr>
        <w:jc w:val="both"/>
        <w:rPr>
          <w:rFonts w:ascii="Arial" w:hAnsi="Arial" w:cs="Arial"/>
          <w:sz w:val="24"/>
          <w:szCs w:val="24"/>
        </w:rPr>
      </w:pPr>
    </w:p>
    <w:p w14:paraId="57312DA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(2.3.) – PREENCHIMENTO DOS REQUISITOS DA PETIÇÃO INICIAL </w:t>
      </w:r>
    </w:p>
    <w:p w14:paraId="14B188E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(NCPC, art. 561)</w:t>
      </w:r>
    </w:p>
    <w:p w14:paraId="79DEF8CF" w14:textId="77777777" w:rsidR="0056443A" w:rsidRPr="0056443A" w:rsidRDefault="0056443A" w:rsidP="0056443A">
      <w:pPr>
        <w:jc w:val="both"/>
        <w:rPr>
          <w:rFonts w:ascii="Arial" w:hAnsi="Arial" w:cs="Arial"/>
          <w:sz w:val="24"/>
          <w:szCs w:val="24"/>
        </w:rPr>
      </w:pPr>
    </w:p>
    <w:p w14:paraId="79FC220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2.3.1. Prova da posse – “Cláusula </w:t>
      </w:r>
      <w:proofErr w:type="spellStart"/>
      <w:r w:rsidRPr="0056443A">
        <w:rPr>
          <w:rFonts w:ascii="Arial" w:hAnsi="Arial" w:cs="Arial"/>
          <w:sz w:val="24"/>
          <w:szCs w:val="24"/>
        </w:rPr>
        <w:t>constituti</w:t>
      </w:r>
      <w:proofErr w:type="spellEnd"/>
      <w:r w:rsidRPr="0056443A">
        <w:rPr>
          <w:rFonts w:ascii="Arial" w:hAnsi="Arial" w:cs="Arial"/>
          <w:sz w:val="24"/>
          <w:szCs w:val="24"/>
        </w:rPr>
        <w:t>” – NCPC, art. 561, inc. I</w:t>
      </w:r>
    </w:p>
    <w:p w14:paraId="58B30225" w14:textId="77777777" w:rsidR="0056443A" w:rsidRPr="0056443A" w:rsidRDefault="0056443A" w:rsidP="0056443A">
      <w:pPr>
        <w:jc w:val="both"/>
        <w:rPr>
          <w:rFonts w:ascii="Arial" w:hAnsi="Arial" w:cs="Arial"/>
          <w:sz w:val="24"/>
          <w:szCs w:val="24"/>
        </w:rPr>
      </w:pPr>
    </w:p>
    <w:p w14:paraId="666632E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É consabido que a aquisição da posse se dá também pela cláusula </w:t>
      </w:r>
      <w:proofErr w:type="spellStart"/>
      <w:r w:rsidRPr="0056443A">
        <w:rPr>
          <w:rFonts w:ascii="Arial" w:hAnsi="Arial" w:cs="Arial"/>
          <w:sz w:val="24"/>
          <w:szCs w:val="24"/>
        </w:rPr>
        <w:t>constituti</w:t>
      </w:r>
      <w:proofErr w:type="spellEnd"/>
      <w:r w:rsidRPr="0056443A">
        <w:rPr>
          <w:rFonts w:ascii="Arial" w:hAnsi="Arial" w:cs="Arial"/>
          <w:sz w:val="24"/>
          <w:szCs w:val="24"/>
        </w:rPr>
        <w:t xml:space="preserve"> inserida em escritura pública de compra e venda de imóvel, o que autoriza, à luz da Legislação Adjetiva Civil, o </w:t>
      </w:r>
      <w:proofErr w:type="spellStart"/>
      <w:r w:rsidRPr="0056443A">
        <w:rPr>
          <w:rFonts w:ascii="Arial" w:hAnsi="Arial" w:cs="Arial"/>
          <w:sz w:val="24"/>
          <w:szCs w:val="24"/>
        </w:rPr>
        <w:t>manejamento</w:t>
      </w:r>
      <w:proofErr w:type="spellEnd"/>
      <w:r w:rsidRPr="0056443A">
        <w:rPr>
          <w:rFonts w:ascii="Arial" w:hAnsi="Arial" w:cs="Arial"/>
          <w:sz w:val="24"/>
          <w:szCs w:val="24"/>
        </w:rPr>
        <w:t xml:space="preserve"> de ações possessórias pelo adquirente. Importa ressalvar, mais, que isso se dá mesmo que este nunca tenha exercido atos de posse direta sobre o bem almejado. </w:t>
      </w:r>
    </w:p>
    <w:p w14:paraId="79BBFCF1" w14:textId="77777777" w:rsidR="0056443A" w:rsidRPr="0056443A" w:rsidRDefault="0056443A" w:rsidP="0056443A">
      <w:pPr>
        <w:jc w:val="both"/>
        <w:rPr>
          <w:rFonts w:ascii="Arial" w:hAnsi="Arial" w:cs="Arial"/>
          <w:sz w:val="24"/>
          <w:szCs w:val="24"/>
        </w:rPr>
      </w:pPr>
    </w:p>
    <w:p w14:paraId="3BE3A3C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A propósito, vejamos as lições colhidas da doutrina de Carlos Roberto Gonçalves: </w:t>
      </w:r>
    </w:p>
    <w:p w14:paraId="270E2D35" w14:textId="77777777" w:rsidR="0056443A" w:rsidRPr="0056443A" w:rsidRDefault="0056443A" w:rsidP="0056443A">
      <w:pPr>
        <w:jc w:val="both"/>
        <w:rPr>
          <w:rFonts w:ascii="Arial" w:hAnsi="Arial" w:cs="Arial"/>
          <w:sz w:val="24"/>
          <w:szCs w:val="24"/>
        </w:rPr>
      </w:pPr>
    </w:p>
    <w:p w14:paraId="65E91B06"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Cláusula </w:t>
      </w:r>
      <w:proofErr w:type="spellStart"/>
      <w:r w:rsidRPr="0056443A">
        <w:rPr>
          <w:rFonts w:ascii="Arial" w:hAnsi="Arial" w:cs="Arial"/>
          <w:sz w:val="24"/>
          <w:szCs w:val="24"/>
        </w:rPr>
        <w:t>constituti</w:t>
      </w:r>
      <w:proofErr w:type="spellEnd"/>
      <w:r w:rsidRPr="0056443A">
        <w:rPr>
          <w:rFonts w:ascii="Arial" w:hAnsi="Arial" w:cs="Arial"/>
          <w:sz w:val="24"/>
          <w:szCs w:val="24"/>
        </w:rPr>
        <w:t xml:space="preserve"> não se presume. Deve constar expressamente do ato ou resultar de estipulação que a pressuponha. Por ela a posse desdobra-se em direta e indireta. O primitivo possuidor, que tinha posse plena, converte-se em possuidor direto, enquanto o novo proprietário se investe na posse indireta, em virtude do acordo celebrado. O comprador só adquire a posse indireta, que lhe é transferida sem entrega material da coisa, pela aludida cláusula. </w:t>
      </w:r>
    </w:p>
    <w:p w14:paraId="3ABEAE0A"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No </w:t>
      </w:r>
      <w:proofErr w:type="spellStart"/>
      <w:r w:rsidRPr="0056443A">
        <w:rPr>
          <w:rFonts w:ascii="Arial" w:hAnsi="Arial" w:cs="Arial"/>
          <w:sz w:val="24"/>
          <w:szCs w:val="24"/>
        </w:rPr>
        <w:t>constituto</w:t>
      </w:r>
      <w:proofErr w:type="spellEnd"/>
      <w:r w:rsidRPr="0056443A">
        <w:rPr>
          <w:rFonts w:ascii="Arial" w:hAnsi="Arial" w:cs="Arial"/>
          <w:sz w:val="24"/>
          <w:szCs w:val="24"/>
        </w:rPr>
        <w:t xml:space="preserve"> possessório o possuidor de uma coisa em nome próprio passa a possuí-la em nome alheio. No momento em que o vendedor, por uma declaração de vontade, transmite a posse da coisa ao comprador, permanecendo, no entanto, na sua detenção material, converte-se, por um ato de sua vontade, em fâmulo da posse do comprador. De detentor em nome próprio, possuidor que era, converte-se em detentor pro </w:t>
      </w:r>
      <w:proofErr w:type="gramStart"/>
      <w:r w:rsidRPr="0056443A">
        <w:rPr>
          <w:rFonts w:ascii="Arial" w:hAnsi="Arial" w:cs="Arial"/>
          <w:sz w:val="24"/>
          <w:szCs w:val="24"/>
        </w:rPr>
        <w:t>alieno.”</w:t>
      </w:r>
      <w:proofErr w:type="gramEnd"/>
      <w:r w:rsidRPr="0056443A">
        <w:rPr>
          <w:rFonts w:ascii="Arial" w:hAnsi="Arial" w:cs="Arial"/>
          <w:sz w:val="24"/>
          <w:szCs w:val="24"/>
        </w:rPr>
        <w:t xml:space="preserve"> (GONÇALVES, Carlos Roberto. Direito Civil Brasileiro. São Paulo: Saraiva, 2006, vol. 5. Pág. 93)</w:t>
      </w:r>
    </w:p>
    <w:p w14:paraId="40278EF3" w14:textId="77777777" w:rsidR="0056443A" w:rsidRPr="0056443A" w:rsidRDefault="0056443A" w:rsidP="0056443A">
      <w:pPr>
        <w:jc w:val="both"/>
        <w:rPr>
          <w:rFonts w:ascii="Arial" w:hAnsi="Arial" w:cs="Arial"/>
          <w:sz w:val="24"/>
          <w:szCs w:val="24"/>
        </w:rPr>
      </w:pPr>
    </w:p>
    <w:p w14:paraId="48A3C789" w14:textId="77777777" w:rsidR="0056443A" w:rsidRPr="0056443A" w:rsidRDefault="0056443A" w:rsidP="0056443A">
      <w:pPr>
        <w:jc w:val="both"/>
        <w:rPr>
          <w:rFonts w:ascii="Arial" w:hAnsi="Arial" w:cs="Arial"/>
          <w:sz w:val="24"/>
          <w:szCs w:val="24"/>
        </w:rPr>
      </w:pPr>
    </w:p>
    <w:p w14:paraId="4E2AA2A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Nessa mesma ordem de entendimento, por prudência colacionamos alguns julgados:</w:t>
      </w:r>
    </w:p>
    <w:p w14:paraId="54AE5F8B" w14:textId="77777777" w:rsidR="0056443A" w:rsidRPr="0056443A" w:rsidRDefault="0056443A" w:rsidP="0056443A">
      <w:pPr>
        <w:jc w:val="both"/>
        <w:rPr>
          <w:rFonts w:ascii="Arial" w:hAnsi="Arial" w:cs="Arial"/>
          <w:sz w:val="24"/>
          <w:szCs w:val="24"/>
        </w:rPr>
      </w:pPr>
    </w:p>
    <w:p w14:paraId="40943BE6"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APELAÇÃO CÍVEL. AÇÃO DE REINTEGRAÇÃO DE POSSE. ALEGAÇÃO DE REVELIA. DECISÃO DE INDEFERIMENTO PROFERIDA PELO JUÍZO DE ORIGEM. MATÉRIA DE ORDEM PÚBLICA. ANÁLISE EM SEDE RECURSAL. POSSIBILIDADE. EFEITOS DA REVELIA. NÃO CABIMENTO. POSSE TRANSFERIDA POR MEIO DA CLÁUSULA "CONSTITUTI". PREVISÃO NOS CONTRATOS DE COMPRA E VENDA E DE DOAÇÃO DA ÁREA EM LITÍGIO. REQUISITOS DO ART. 927 DO CPC. PREENCHIMENTO. ESBULHO. COMPROVAÇÃO. </w:t>
      </w:r>
    </w:p>
    <w:p w14:paraId="11CACFA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É possível a análise do pedido de declaração de revelia, já analisado no juízo a quo em decisão não recorrida, pois não ocorre a preclusão </w:t>
      </w:r>
      <w:proofErr w:type="gramStart"/>
      <w:r w:rsidRPr="0056443A">
        <w:rPr>
          <w:rFonts w:ascii="Arial" w:hAnsi="Arial" w:cs="Arial"/>
          <w:sz w:val="24"/>
          <w:szCs w:val="24"/>
        </w:rPr>
        <w:t>pro</w:t>
      </w:r>
      <w:proofErr w:type="gramEnd"/>
      <w:r w:rsidRPr="0056443A">
        <w:rPr>
          <w:rFonts w:ascii="Arial" w:hAnsi="Arial" w:cs="Arial"/>
          <w:sz w:val="24"/>
          <w:szCs w:val="24"/>
        </w:rPr>
        <w:t xml:space="preserve"> </w:t>
      </w:r>
      <w:proofErr w:type="spellStart"/>
      <w:r w:rsidRPr="0056443A">
        <w:rPr>
          <w:rFonts w:ascii="Arial" w:hAnsi="Arial" w:cs="Arial"/>
          <w:sz w:val="24"/>
          <w:szCs w:val="24"/>
        </w:rPr>
        <w:t>judicato</w:t>
      </w:r>
      <w:proofErr w:type="spellEnd"/>
      <w:r w:rsidRPr="0056443A">
        <w:rPr>
          <w:rFonts w:ascii="Arial" w:hAnsi="Arial" w:cs="Arial"/>
          <w:sz w:val="24"/>
          <w:szCs w:val="24"/>
        </w:rPr>
        <w:t xml:space="preserve"> porque essa matéria é de ordem pública e não houve decisão em sede recursal sobre o </w:t>
      </w:r>
      <w:r w:rsidRPr="0056443A">
        <w:rPr>
          <w:rFonts w:ascii="Arial" w:hAnsi="Arial" w:cs="Arial"/>
          <w:sz w:val="24"/>
          <w:szCs w:val="24"/>
        </w:rPr>
        <w:lastRenderedPageBreak/>
        <w:t>tema. A presunção de veracidade dos fatos alegados pela parte autora em face da revelia da parte ré é relativa, podendo ceder a outras circunstâncias constantes dos autos. A cláusula "</w:t>
      </w:r>
      <w:proofErr w:type="spellStart"/>
      <w:r w:rsidRPr="0056443A">
        <w:rPr>
          <w:rFonts w:ascii="Arial" w:hAnsi="Arial" w:cs="Arial"/>
          <w:sz w:val="24"/>
          <w:szCs w:val="24"/>
        </w:rPr>
        <w:t>constituti</w:t>
      </w:r>
      <w:proofErr w:type="spellEnd"/>
      <w:r w:rsidRPr="0056443A">
        <w:rPr>
          <w:rFonts w:ascii="Arial" w:hAnsi="Arial" w:cs="Arial"/>
          <w:sz w:val="24"/>
          <w:szCs w:val="24"/>
        </w:rPr>
        <w:t>" é uma das formas de transmissão da posse e se verifica quando houver a expressa previsão de sua transferência em escritura pública, e, assim, permite ao seu adquirente o ajuizamento de ação possessória. Provado que a parte autora tinha a posse da área em litígio recebida por meio da cláusula "</w:t>
      </w:r>
      <w:proofErr w:type="spellStart"/>
      <w:r w:rsidRPr="0056443A">
        <w:rPr>
          <w:rFonts w:ascii="Arial" w:hAnsi="Arial" w:cs="Arial"/>
          <w:sz w:val="24"/>
          <w:szCs w:val="24"/>
        </w:rPr>
        <w:t>constituti</w:t>
      </w:r>
      <w:proofErr w:type="spellEnd"/>
      <w:r w:rsidRPr="0056443A">
        <w:rPr>
          <w:rFonts w:ascii="Arial" w:hAnsi="Arial" w:cs="Arial"/>
          <w:sz w:val="24"/>
          <w:szCs w:val="24"/>
        </w:rPr>
        <w:t xml:space="preserve">", e que a parte ré tinha permissão para ocupá-la, restou comprovado o esbulho ao se recusar a devolvê-la. (TJMG; APCV 1.0472.09.025627-3/002; Rel. Des. Evandro Lopes Da Costa Teixeira; </w:t>
      </w:r>
      <w:proofErr w:type="spellStart"/>
      <w:r w:rsidRPr="0056443A">
        <w:rPr>
          <w:rFonts w:ascii="Arial" w:hAnsi="Arial" w:cs="Arial"/>
          <w:sz w:val="24"/>
          <w:szCs w:val="24"/>
        </w:rPr>
        <w:t>Julg</w:t>
      </w:r>
      <w:proofErr w:type="spellEnd"/>
      <w:r w:rsidRPr="0056443A">
        <w:rPr>
          <w:rFonts w:ascii="Arial" w:hAnsi="Arial" w:cs="Arial"/>
          <w:sz w:val="24"/>
          <w:szCs w:val="24"/>
        </w:rPr>
        <w:t>. 26/02/2015; DJEMG 10/03/2015)</w:t>
      </w:r>
    </w:p>
    <w:p w14:paraId="2C8E19FB" w14:textId="77777777" w:rsidR="0056443A" w:rsidRPr="0056443A" w:rsidRDefault="0056443A" w:rsidP="0056443A">
      <w:pPr>
        <w:jc w:val="both"/>
        <w:rPr>
          <w:rFonts w:ascii="Arial" w:hAnsi="Arial" w:cs="Arial"/>
          <w:sz w:val="24"/>
          <w:szCs w:val="24"/>
        </w:rPr>
      </w:pPr>
    </w:p>
    <w:p w14:paraId="62878ED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RECURSO DE APELAÇÃO CÍVEL. AÇÃO DE REINTEGRAÇÃO DE POSSE PROCEDÊNCIA. PRELIMINAR. DESERÇÃO. PREPARO JUNTADO ATRAVÉS DE CÓPIA DA GUIA DE RECOLHIMENTO. ARTIGO 551 DO CPC E PROVIMENTO 38/2012/CGJ. MT. REJEIÇÃO. CONEXÃO ENTRE AÇÃO DE REINTEGRAÇÃO E AÇÃO DE USUCAPIÃO. FINALIDADE DISTINTA DAS PRETENSÕES. INDEFERIMENTO DO PEDIDO. MÉRITO. POSSE CLÁUSULA CONSTITUTI. PROVA TESTEMUNHAL. ESBULHO CONFIGURADO. REQUISITOS DO ART. 927 DO CPC. PRESENÇA RETENÇÃO DE BENFEITORIAS. INOVAÇÃO RECURSAL E PRINCÍPIO DA DIALETICIDADE. SENTENÇA MANTIDA. RECURSO DESPROVIDO. </w:t>
      </w:r>
    </w:p>
    <w:p w14:paraId="0580CEF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Nos termos do § 2º do art. 511 do CPC, aplicado por analogia ao caso em discussão, para não se conhecer do recurso em razão da juntada de cópia da guia de recolhimento de preparo, só poderá ocorrer se for oportunizada a juntada do original, o que não ocorreu na espécie. Ademais, diante do provimento nº. 38/2012/</w:t>
      </w:r>
      <w:proofErr w:type="spellStart"/>
      <w:r w:rsidRPr="0056443A">
        <w:rPr>
          <w:rFonts w:ascii="Arial" w:hAnsi="Arial" w:cs="Arial"/>
          <w:sz w:val="24"/>
          <w:szCs w:val="24"/>
        </w:rPr>
        <w:t>cgj</w:t>
      </w:r>
      <w:proofErr w:type="spellEnd"/>
      <w:r w:rsidRPr="0056443A">
        <w:rPr>
          <w:rFonts w:ascii="Arial" w:hAnsi="Arial" w:cs="Arial"/>
          <w:sz w:val="24"/>
          <w:szCs w:val="24"/>
        </w:rPr>
        <w:t xml:space="preserve">, que criou o portal eletrônico, é permitido o protocolo eletrônico de petições e outros documentos, como comprovante de preparo, independente do original, uma vez que tal ferramenta foi colocada como um dos recursos tecnológicos úteis ao exercício da atividade jurídica, inclusive dos advogados. Não existe conexão entre ação possessória e de usucapião, porque o objeto das duas demandas não se confunde, muito mais ainda quando a finalidade e as partes são distintas. Conforme precedentes do STJ, a cláusula </w:t>
      </w:r>
      <w:proofErr w:type="spellStart"/>
      <w:r w:rsidRPr="0056443A">
        <w:rPr>
          <w:rFonts w:ascii="Arial" w:hAnsi="Arial" w:cs="Arial"/>
          <w:sz w:val="24"/>
          <w:szCs w:val="24"/>
        </w:rPr>
        <w:t>constituti</w:t>
      </w:r>
      <w:proofErr w:type="spellEnd"/>
      <w:r w:rsidRPr="0056443A">
        <w:rPr>
          <w:rFonts w:ascii="Arial" w:hAnsi="Arial" w:cs="Arial"/>
          <w:sz w:val="24"/>
          <w:szCs w:val="24"/>
        </w:rPr>
        <w:t xml:space="preserve"> é uma das formas de transferência e aquisição da posse, sendo cabível, em caso de esbulho, sua defesa por meio da ação </w:t>
      </w:r>
      <w:proofErr w:type="spellStart"/>
      <w:r w:rsidRPr="0056443A">
        <w:rPr>
          <w:rFonts w:ascii="Arial" w:hAnsi="Arial" w:cs="Arial"/>
          <w:sz w:val="24"/>
          <w:szCs w:val="24"/>
        </w:rPr>
        <w:t>reintegratória</w:t>
      </w:r>
      <w:proofErr w:type="spellEnd"/>
      <w:r w:rsidRPr="0056443A">
        <w:rPr>
          <w:rFonts w:ascii="Arial" w:hAnsi="Arial" w:cs="Arial"/>
          <w:sz w:val="24"/>
          <w:szCs w:val="24"/>
        </w:rPr>
        <w:t xml:space="preserve">. Provados de forma documental e testemunhal os requisitos do artigo 927 do CPC, deve ser mantida a sentença de procedência do pedido de reintegração de posse. Não procede a discussão sobre retenção de benfeitorias se não foi objeto de discussão pelas partes e muito menos na sentença. Até porque, nos moldes do art. 515, § 1º, do CPC, é defeso ao apelante inovar a causa de pedir, pois, em apelação apenas se admite a discussão de questões de fato ou de direito apresentadas no primeiro grau, sob pena de não se conhecer do recurso, sobretudo quando o recorrente não ataca especificamente os fundamentos da sentença recorrida, violando o princípio da </w:t>
      </w:r>
      <w:proofErr w:type="spellStart"/>
      <w:r w:rsidRPr="0056443A">
        <w:rPr>
          <w:rFonts w:ascii="Arial" w:hAnsi="Arial" w:cs="Arial"/>
          <w:sz w:val="24"/>
          <w:szCs w:val="24"/>
        </w:rPr>
        <w:t>dialeticidade</w:t>
      </w:r>
      <w:proofErr w:type="spellEnd"/>
      <w:r w:rsidRPr="0056443A">
        <w:rPr>
          <w:rFonts w:ascii="Arial" w:hAnsi="Arial" w:cs="Arial"/>
          <w:sz w:val="24"/>
          <w:szCs w:val="24"/>
        </w:rPr>
        <w:t xml:space="preserve">, previsto no inciso II do art. 514 da Lei adjetiva civil. (TJMT; APL 51386/2014; Capital; </w:t>
      </w:r>
      <w:proofErr w:type="spellStart"/>
      <w:r w:rsidRPr="0056443A">
        <w:rPr>
          <w:rFonts w:ascii="Arial" w:hAnsi="Arial" w:cs="Arial"/>
          <w:sz w:val="24"/>
          <w:szCs w:val="24"/>
        </w:rPr>
        <w:t>Relª</w:t>
      </w:r>
      <w:proofErr w:type="spellEnd"/>
      <w:r w:rsidRPr="0056443A">
        <w:rPr>
          <w:rFonts w:ascii="Arial" w:hAnsi="Arial" w:cs="Arial"/>
          <w:sz w:val="24"/>
          <w:szCs w:val="24"/>
        </w:rPr>
        <w:t xml:space="preserve"> Desª </w:t>
      </w:r>
      <w:proofErr w:type="spellStart"/>
      <w:r w:rsidRPr="0056443A">
        <w:rPr>
          <w:rFonts w:ascii="Arial" w:hAnsi="Arial" w:cs="Arial"/>
          <w:sz w:val="24"/>
          <w:szCs w:val="24"/>
        </w:rPr>
        <w:t>Marilsen</w:t>
      </w:r>
      <w:proofErr w:type="spellEnd"/>
      <w:r w:rsidRPr="0056443A">
        <w:rPr>
          <w:rFonts w:ascii="Arial" w:hAnsi="Arial" w:cs="Arial"/>
          <w:sz w:val="24"/>
          <w:szCs w:val="24"/>
        </w:rPr>
        <w:t xml:space="preserve"> Andrade </w:t>
      </w:r>
      <w:proofErr w:type="spellStart"/>
      <w:r w:rsidRPr="0056443A">
        <w:rPr>
          <w:rFonts w:ascii="Arial" w:hAnsi="Arial" w:cs="Arial"/>
          <w:sz w:val="24"/>
          <w:szCs w:val="24"/>
        </w:rPr>
        <w:t>Addário</w:t>
      </w:r>
      <w:proofErr w:type="spellEnd"/>
      <w:r w:rsidRPr="0056443A">
        <w:rPr>
          <w:rFonts w:ascii="Arial" w:hAnsi="Arial" w:cs="Arial"/>
          <w:sz w:val="24"/>
          <w:szCs w:val="24"/>
        </w:rPr>
        <w:t xml:space="preserve">; </w:t>
      </w:r>
      <w:proofErr w:type="spellStart"/>
      <w:r w:rsidRPr="0056443A">
        <w:rPr>
          <w:rFonts w:ascii="Arial" w:hAnsi="Arial" w:cs="Arial"/>
          <w:sz w:val="24"/>
          <w:szCs w:val="24"/>
        </w:rPr>
        <w:t>Julg</w:t>
      </w:r>
      <w:proofErr w:type="spellEnd"/>
      <w:r w:rsidRPr="0056443A">
        <w:rPr>
          <w:rFonts w:ascii="Arial" w:hAnsi="Arial" w:cs="Arial"/>
          <w:sz w:val="24"/>
          <w:szCs w:val="24"/>
        </w:rPr>
        <w:t>. 17/12/2014; DJMT 21/01/2015; Pág. 173)</w:t>
      </w:r>
    </w:p>
    <w:p w14:paraId="398FA36E" w14:textId="77777777" w:rsidR="0056443A" w:rsidRPr="0056443A" w:rsidRDefault="0056443A" w:rsidP="0056443A">
      <w:pPr>
        <w:jc w:val="both"/>
        <w:rPr>
          <w:rFonts w:ascii="Arial" w:hAnsi="Arial" w:cs="Arial"/>
          <w:sz w:val="24"/>
          <w:szCs w:val="24"/>
        </w:rPr>
      </w:pPr>
    </w:p>
    <w:p w14:paraId="567D8F6C" w14:textId="77777777" w:rsidR="0056443A" w:rsidRPr="0056443A" w:rsidRDefault="0056443A" w:rsidP="0056443A">
      <w:pPr>
        <w:jc w:val="both"/>
        <w:rPr>
          <w:rFonts w:ascii="Arial" w:hAnsi="Arial" w:cs="Arial"/>
          <w:sz w:val="24"/>
          <w:szCs w:val="24"/>
        </w:rPr>
      </w:pPr>
    </w:p>
    <w:p w14:paraId="29F4019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Na espécie, as partes avençaram a cláusula em estudo nos seguintes termos:</w:t>
      </w:r>
    </w:p>
    <w:p w14:paraId="10EEED02" w14:textId="77777777" w:rsidR="0056443A" w:rsidRPr="0056443A" w:rsidRDefault="0056443A" w:rsidP="0056443A">
      <w:pPr>
        <w:jc w:val="both"/>
        <w:rPr>
          <w:rFonts w:ascii="Arial" w:hAnsi="Arial" w:cs="Arial"/>
          <w:sz w:val="24"/>
          <w:szCs w:val="24"/>
        </w:rPr>
      </w:pPr>
    </w:p>
    <w:p w14:paraId="39071AB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“Cláusula 17 – Com o pagamento do preço acertado, transferem-se à adquirente a posse e propriedade do imóvel descrito na cláusula 2. </w:t>
      </w:r>
    </w:p>
    <w:p w14:paraId="60982EF9" w14:textId="77777777" w:rsidR="0056443A" w:rsidRPr="0056443A" w:rsidRDefault="0056443A" w:rsidP="0056443A">
      <w:pPr>
        <w:jc w:val="both"/>
        <w:rPr>
          <w:rFonts w:ascii="Arial" w:hAnsi="Arial" w:cs="Arial"/>
          <w:sz w:val="24"/>
          <w:szCs w:val="24"/>
        </w:rPr>
      </w:pPr>
    </w:p>
    <w:p w14:paraId="494F008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1º - </w:t>
      </w:r>
      <w:proofErr w:type="spellStart"/>
      <w:r w:rsidRPr="0056443A">
        <w:rPr>
          <w:rFonts w:ascii="Arial" w:hAnsi="Arial" w:cs="Arial"/>
          <w:sz w:val="24"/>
          <w:szCs w:val="24"/>
        </w:rPr>
        <w:t>Anue</w:t>
      </w:r>
      <w:proofErr w:type="spellEnd"/>
      <w:r w:rsidRPr="0056443A">
        <w:rPr>
          <w:rFonts w:ascii="Arial" w:hAnsi="Arial" w:cs="Arial"/>
          <w:sz w:val="24"/>
          <w:szCs w:val="24"/>
        </w:rPr>
        <w:t xml:space="preserve"> a adquirente que a vendedora ficará no imóvel por prazo não superior a 30 (trinta) dias, contados da data do pagamento acima mencionado. “ </w:t>
      </w:r>
    </w:p>
    <w:p w14:paraId="76D39DAB" w14:textId="77777777" w:rsidR="0056443A" w:rsidRPr="0056443A" w:rsidRDefault="0056443A" w:rsidP="0056443A">
      <w:pPr>
        <w:jc w:val="both"/>
        <w:rPr>
          <w:rFonts w:ascii="Arial" w:hAnsi="Arial" w:cs="Arial"/>
          <w:sz w:val="24"/>
          <w:szCs w:val="24"/>
        </w:rPr>
      </w:pPr>
    </w:p>
    <w:p w14:paraId="2F54A188" w14:textId="77777777" w:rsidR="0056443A" w:rsidRPr="0056443A" w:rsidRDefault="0056443A" w:rsidP="0056443A">
      <w:pPr>
        <w:jc w:val="both"/>
        <w:rPr>
          <w:rFonts w:ascii="Arial" w:hAnsi="Arial" w:cs="Arial"/>
          <w:sz w:val="24"/>
          <w:szCs w:val="24"/>
        </w:rPr>
      </w:pPr>
    </w:p>
    <w:p w14:paraId="5CC5B45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2.3.2. Do esbulho praticado pela Ré – NCPC, art. 561, inc. II</w:t>
      </w:r>
    </w:p>
    <w:p w14:paraId="27A4A149" w14:textId="77777777" w:rsidR="0056443A" w:rsidRPr="0056443A" w:rsidRDefault="0056443A" w:rsidP="0056443A">
      <w:pPr>
        <w:jc w:val="both"/>
        <w:rPr>
          <w:rFonts w:ascii="Arial" w:hAnsi="Arial" w:cs="Arial"/>
          <w:sz w:val="24"/>
          <w:szCs w:val="24"/>
        </w:rPr>
      </w:pPr>
    </w:p>
    <w:p w14:paraId="71CC370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O quadro fático em enfoque representa nítido ato de esbulho, não de turbação. É que, segundo melhor doutrina, na turbação, em que pese o ato molestador, o possuidor conserva-se na posse do bem, em que pese clandestinamente. Não é o caso, lógico.</w:t>
      </w:r>
    </w:p>
    <w:p w14:paraId="4267C249" w14:textId="77777777" w:rsidR="0056443A" w:rsidRPr="0056443A" w:rsidRDefault="0056443A" w:rsidP="0056443A">
      <w:pPr>
        <w:jc w:val="both"/>
        <w:rPr>
          <w:rFonts w:ascii="Arial" w:hAnsi="Arial" w:cs="Arial"/>
          <w:sz w:val="24"/>
          <w:szCs w:val="24"/>
        </w:rPr>
      </w:pPr>
    </w:p>
    <w:p w14:paraId="219553F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 Sem maiores dificuldades verificamos que a Ré pratica ato de posse precária, como a propósito lecionam Cristiano Chaves de Farias e Nelson </w:t>
      </w:r>
      <w:proofErr w:type="spellStart"/>
      <w:r w:rsidRPr="0056443A">
        <w:rPr>
          <w:rFonts w:ascii="Arial" w:hAnsi="Arial" w:cs="Arial"/>
          <w:sz w:val="24"/>
          <w:szCs w:val="24"/>
        </w:rPr>
        <w:t>Rosenvald</w:t>
      </w:r>
      <w:proofErr w:type="spellEnd"/>
      <w:r w:rsidRPr="0056443A">
        <w:rPr>
          <w:rFonts w:ascii="Arial" w:hAnsi="Arial" w:cs="Arial"/>
          <w:sz w:val="24"/>
          <w:szCs w:val="24"/>
        </w:rPr>
        <w:t>:</w:t>
      </w:r>
    </w:p>
    <w:p w14:paraId="78C23431" w14:textId="77777777" w:rsidR="0056443A" w:rsidRPr="0056443A" w:rsidRDefault="0056443A" w:rsidP="0056443A">
      <w:pPr>
        <w:jc w:val="both"/>
        <w:rPr>
          <w:rFonts w:ascii="Arial" w:hAnsi="Arial" w:cs="Arial"/>
          <w:sz w:val="24"/>
          <w:szCs w:val="24"/>
        </w:rPr>
      </w:pPr>
    </w:p>
    <w:p w14:paraId="4D592E5E" w14:textId="77777777" w:rsidR="0056443A" w:rsidRPr="0056443A" w:rsidRDefault="0056443A" w:rsidP="0056443A">
      <w:pPr>
        <w:jc w:val="both"/>
        <w:rPr>
          <w:rFonts w:ascii="Arial" w:hAnsi="Arial" w:cs="Arial"/>
          <w:sz w:val="24"/>
          <w:szCs w:val="24"/>
        </w:rPr>
      </w:pPr>
    </w:p>
    <w:p w14:paraId="71549BA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w:t>
      </w:r>
      <w:proofErr w:type="gramStart"/>
      <w:r w:rsidRPr="0056443A">
        <w:rPr>
          <w:rFonts w:ascii="Arial" w:hAnsi="Arial" w:cs="Arial"/>
          <w:sz w:val="24"/>
          <w:szCs w:val="24"/>
        </w:rPr>
        <w:t>b.</w:t>
      </w:r>
      <w:proofErr w:type="gramEnd"/>
      <w:r w:rsidRPr="0056443A">
        <w:rPr>
          <w:rFonts w:ascii="Arial" w:hAnsi="Arial" w:cs="Arial"/>
          <w:sz w:val="24"/>
          <w:szCs w:val="24"/>
        </w:rPr>
        <w:t xml:space="preserve">3. Posse precária: resulta do abuso de confiança do possuidor que indevidamente retém a coisa além do prazo avençado para o término da relação jurídica de direito real ou obrigacional que originou a posse. Inicialmente, o precarista era qualificado com o proprietário ou possuidor, conduzindo-se licitamente perante a coisa. Todavia, unilateralmente delibera manter o bem em seu poder, além do prazo normal de devolução, praticando verdadeira apropriação indébita. </w:t>
      </w:r>
      <w:proofErr w:type="gramStart"/>
      <w:r w:rsidRPr="0056443A">
        <w:rPr>
          <w:rFonts w:ascii="Arial" w:hAnsi="Arial" w:cs="Arial"/>
          <w:sz w:val="24"/>
          <w:szCs w:val="24"/>
        </w:rPr>
        <w:t>“(</w:t>
      </w:r>
      <w:proofErr w:type="gramEnd"/>
      <w:r w:rsidRPr="0056443A">
        <w:rPr>
          <w:rFonts w:ascii="Arial" w:hAnsi="Arial" w:cs="Arial"/>
          <w:sz w:val="24"/>
          <w:szCs w:val="24"/>
        </w:rPr>
        <w:t xml:space="preserve">FARIAS, Cristiano Chaves de; ROSENVALD, Nélson. Direitos Reais. 6ª Ed. Rio de Janeiro: </w:t>
      </w:r>
      <w:proofErr w:type="spellStart"/>
      <w:r w:rsidRPr="0056443A">
        <w:rPr>
          <w:rFonts w:ascii="Arial" w:hAnsi="Arial" w:cs="Arial"/>
          <w:sz w:val="24"/>
          <w:szCs w:val="24"/>
        </w:rPr>
        <w:t>Lumen</w:t>
      </w:r>
      <w:proofErr w:type="spellEnd"/>
      <w:r w:rsidRPr="0056443A">
        <w:rPr>
          <w:rFonts w:ascii="Arial" w:hAnsi="Arial" w:cs="Arial"/>
          <w:sz w:val="24"/>
          <w:szCs w:val="24"/>
        </w:rPr>
        <w:t xml:space="preserve"> Juris, 2010. Pág. 85)</w:t>
      </w:r>
    </w:p>
    <w:p w14:paraId="55E3FE6E" w14:textId="77777777" w:rsidR="0056443A" w:rsidRPr="0056443A" w:rsidRDefault="0056443A" w:rsidP="0056443A">
      <w:pPr>
        <w:jc w:val="both"/>
        <w:rPr>
          <w:rFonts w:ascii="Arial" w:hAnsi="Arial" w:cs="Arial"/>
          <w:sz w:val="24"/>
          <w:szCs w:val="24"/>
        </w:rPr>
      </w:pPr>
    </w:p>
    <w:p w14:paraId="26A4949C" w14:textId="77777777" w:rsidR="0056443A" w:rsidRPr="0056443A" w:rsidRDefault="0056443A" w:rsidP="0056443A">
      <w:pPr>
        <w:jc w:val="both"/>
        <w:rPr>
          <w:rFonts w:ascii="Arial" w:hAnsi="Arial" w:cs="Arial"/>
          <w:sz w:val="24"/>
          <w:szCs w:val="24"/>
        </w:rPr>
      </w:pPr>
    </w:p>
    <w:p w14:paraId="12E5E59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lastRenderedPageBreak/>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Uma vez que posse é precária, na medida em que houve a abuso de confiança e a retenção do bem é indevida, constata-se a figura jurídica do esbulho. </w:t>
      </w:r>
    </w:p>
    <w:p w14:paraId="18A48454" w14:textId="77777777" w:rsidR="0056443A" w:rsidRPr="0056443A" w:rsidRDefault="0056443A" w:rsidP="0056443A">
      <w:pPr>
        <w:jc w:val="both"/>
        <w:rPr>
          <w:rFonts w:ascii="Arial" w:hAnsi="Arial" w:cs="Arial"/>
          <w:sz w:val="24"/>
          <w:szCs w:val="24"/>
        </w:rPr>
      </w:pPr>
    </w:p>
    <w:p w14:paraId="7A755B23"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CÓDIGO CIVIL</w:t>
      </w:r>
    </w:p>
    <w:p w14:paraId="033638A4" w14:textId="77777777" w:rsidR="0056443A" w:rsidRPr="0056443A" w:rsidRDefault="0056443A" w:rsidP="0056443A">
      <w:pPr>
        <w:jc w:val="both"/>
        <w:rPr>
          <w:rFonts w:ascii="Arial" w:hAnsi="Arial" w:cs="Arial"/>
          <w:sz w:val="24"/>
          <w:szCs w:val="24"/>
        </w:rPr>
      </w:pPr>
    </w:p>
    <w:p w14:paraId="5227A6D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Art. 1200 - É justa a posse que não for violenta, clandestina ou precária.</w:t>
      </w:r>
    </w:p>
    <w:p w14:paraId="5638A04F" w14:textId="77777777" w:rsidR="0056443A" w:rsidRPr="0056443A" w:rsidRDefault="0056443A" w:rsidP="0056443A">
      <w:pPr>
        <w:jc w:val="both"/>
        <w:rPr>
          <w:rFonts w:ascii="Arial" w:hAnsi="Arial" w:cs="Arial"/>
          <w:sz w:val="24"/>
          <w:szCs w:val="24"/>
        </w:rPr>
      </w:pPr>
    </w:p>
    <w:p w14:paraId="556AE07F" w14:textId="77777777" w:rsidR="0056443A" w:rsidRPr="0056443A" w:rsidRDefault="0056443A" w:rsidP="0056443A">
      <w:pPr>
        <w:jc w:val="both"/>
        <w:rPr>
          <w:rFonts w:ascii="Arial" w:hAnsi="Arial" w:cs="Arial"/>
          <w:sz w:val="24"/>
          <w:szCs w:val="24"/>
        </w:rPr>
      </w:pPr>
    </w:p>
    <w:p w14:paraId="00335443"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Novamente levamos a efeito a doutrina dos jurisconsultos acima mencionados:</w:t>
      </w:r>
    </w:p>
    <w:p w14:paraId="4C3445F0" w14:textId="77777777" w:rsidR="0056443A" w:rsidRPr="0056443A" w:rsidRDefault="0056443A" w:rsidP="0056443A">
      <w:pPr>
        <w:jc w:val="both"/>
        <w:rPr>
          <w:rFonts w:ascii="Arial" w:hAnsi="Arial" w:cs="Arial"/>
          <w:sz w:val="24"/>
          <w:szCs w:val="24"/>
        </w:rPr>
      </w:pPr>
    </w:p>
    <w:p w14:paraId="0C6BD97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“12.5.3.1. Reintegração de Posse</w:t>
      </w:r>
    </w:p>
    <w:p w14:paraId="20835559" w14:textId="77777777" w:rsidR="0056443A" w:rsidRPr="0056443A" w:rsidRDefault="0056443A" w:rsidP="0056443A">
      <w:pPr>
        <w:jc w:val="both"/>
        <w:rPr>
          <w:rFonts w:ascii="Arial" w:hAnsi="Arial" w:cs="Arial"/>
          <w:sz w:val="24"/>
          <w:szCs w:val="24"/>
        </w:rPr>
      </w:pPr>
    </w:p>
    <w:p w14:paraId="696DEF0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É o remédio processual adequado à restituição da posse àquele que a tenha perdido em razão de um esbulho, sendo privado do poder físico sobre a coisa. A pretensão contida na ação de reintegração de posse é a reposição do possuidor à situação pregressa ao ato de exclusão da posse, recuperando o poder fático de ingerência socioeconômica sobre a coisa. Não é suficiente o incômodo ou perturbação; essencial é que a agressão provoque a perda da possibilidade de controle e atuação material no bem antes possuído. </w:t>
      </w:r>
    </w:p>
    <w:p w14:paraId="3976D1A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 . . )</w:t>
      </w:r>
    </w:p>
    <w:p w14:paraId="1E54E64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Frise-se que o esbulho não apenas consequente a um ato de força ou ameaça contra a pessoa do possuidor ou de seus detentores. Seu espectro é mais amplo e abarca as situações em que a posse é subtraída por qualquer dos vícios objetivos, enumerados no art. 1.200 do Código Civil. Vale dizer, violência, precariedade e clandestinidade. “ (Ob. e aut. </w:t>
      </w:r>
      <w:proofErr w:type="spellStart"/>
      <w:proofErr w:type="gramStart"/>
      <w:r w:rsidRPr="0056443A">
        <w:rPr>
          <w:rFonts w:ascii="Arial" w:hAnsi="Arial" w:cs="Arial"/>
          <w:sz w:val="24"/>
          <w:szCs w:val="24"/>
        </w:rPr>
        <w:t>cits</w:t>
      </w:r>
      <w:proofErr w:type="spellEnd"/>
      <w:proofErr w:type="gramEnd"/>
      <w:r w:rsidRPr="0056443A">
        <w:rPr>
          <w:rFonts w:ascii="Arial" w:hAnsi="Arial" w:cs="Arial"/>
          <w:sz w:val="24"/>
          <w:szCs w:val="24"/>
        </w:rPr>
        <w:t>. Pág. 126)</w:t>
      </w:r>
    </w:p>
    <w:p w14:paraId="3A131500" w14:textId="77777777" w:rsidR="0056443A" w:rsidRPr="0056443A" w:rsidRDefault="0056443A" w:rsidP="0056443A">
      <w:pPr>
        <w:jc w:val="both"/>
        <w:rPr>
          <w:rFonts w:ascii="Arial" w:hAnsi="Arial" w:cs="Arial"/>
          <w:sz w:val="24"/>
          <w:szCs w:val="24"/>
        </w:rPr>
      </w:pPr>
    </w:p>
    <w:p w14:paraId="0919675D" w14:textId="77777777" w:rsidR="0056443A" w:rsidRPr="0056443A" w:rsidRDefault="0056443A" w:rsidP="0056443A">
      <w:pPr>
        <w:jc w:val="both"/>
        <w:rPr>
          <w:rFonts w:ascii="Arial" w:hAnsi="Arial" w:cs="Arial"/>
          <w:sz w:val="24"/>
          <w:szCs w:val="24"/>
        </w:rPr>
      </w:pPr>
    </w:p>
    <w:p w14:paraId="2E9EFD67"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Nesse sentido:</w:t>
      </w:r>
    </w:p>
    <w:p w14:paraId="246C2F1D" w14:textId="77777777" w:rsidR="0056443A" w:rsidRPr="0056443A" w:rsidRDefault="0056443A" w:rsidP="0056443A">
      <w:pPr>
        <w:jc w:val="both"/>
        <w:rPr>
          <w:rFonts w:ascii="Arial" w:hAnsi="Arial" w:cs="Arial"/>
          <w:sz w:val="24"/>
          <w:szCs w:val="24"/>
        </w:rPr>
      </w:pPr>
    </w:p>
    <w:p w14:paraId="6558251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CIVIL E PROCESSUAL CIVIL. REINTEGRAÇÃO DE POSSE. LIMINAR. MANDATO. REVOGAÇÃO. RESCISÃO CONTRATUAL. POSSE PRECÁRIA E INJUSTA. ESBULHO. Considera-se precária e injusta a posse, caracterizando o esbulho, quando a parte se nega a restituir o imóvel após a notificação para desocupá-lo em razão da revogação do mandato que outorgava a proteção possessória. O esbulho ocorre a partir da notificação da rescisão contratual. </w:t>
      </w:r>
      <w:r w:rsidRPr="0056443A">
        <w:rPr>
          <w:rFonts w:ascii="Arial" w:hAnsi="Arial" w:cs="Arial"/>
          <w:sz w:val="24"/>
          <w:szCs w:val="24"/>
        </w:rPr>
        <w:lastRenderedPageBreak/>
        <w:t xml:space="preserve">Liminar concedida para reintegrar a agravante na posse do imóvel. Recurso conhecido e provido. (TJDF; </w:t>
      </w:r>
      <w:proofErr w:type="spellStart"/>
      <w:r w:rsidRPr="0056443A">
        <w:rPr>
          <w:rFonts w:ascii="Arial" w:hAnsi="Arial" w:cs="Arial"/>
          <w:sz w:val="24"/>
          <w:szCs w:val="24"/>
        </w:rPr>
        <w:t>Rec</w:t>
      </w:r>
      <w:proofErr w:type="spellEnd"/>
      <w:r w:rsidRPr="0056443A">
        <w:rPr>
          <w:rFonts w:ascii="Arial" w:hAnsi="Arial" w:cs="Arial"/>
          <w:sz w:val="24"/>
          <w:szCs w:val="24"/>
        </w:rPr>
        <w:t xml:space="preserve"> 2015.00.2.001355-2; Ac. 854.361; Sexta Turma Cível; Rel. Des. Hector Valverde </w:t>
      </w:r>
      <w:proofErr w:type="spellStart"/>
      <w:r w:rsidRPr="0056443A">
        <w:rPr>
          <w:rFonts w:ascii="Arial" w:hAnsi="Arial" w:cs="Arial"/>
          <w:sz w:val="24"/>
          <w:szCs w:val="24"/>
        </w:rPr>
        <w:t>Santanna</w:t>
      </w:r>
      <w:proofErr w:type="spellEnd"/>
      <w:r w:rsidRPr="0056443A">
        <w:rPr>
          <w:rFonts w:ascii="Arial" w:hAnsi="Arial" w:cs="Arial"/>
          <w:sz w:val="24"/>
          <w:szCs w:val="24"/>
        </w:rPr>
        <w:t>; DJDFTE 18/03/2015; Pág. 442)</w:t>
      </w:r>
    </w:p>
    <w:p w14:paraId="01935D4A" w14:textId="77777777" w:rsidR="0056443A" w:rsidRPr="0056443A" w:rsidRDefault="0056443A" w:rsidP="0056443A">
      <w:pPr>
        <w:jc w:val="both"/>
        <w:rPr>
          <w:rFonts w:ascii="Arial" w:hAnsi="Arial" w:cs="Arial"/>
          <w:sz w:val="24"/>
          <w:szCs w:val="24"/>
        </w:rPr>
      </w:pPr>
    </w:p>
    <w:p w14:paraId="0D6E9E6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AGRAVO DE INSTRUMENTO. AÇÃO DE REINTEGRAÇÃO DE POSSE. LIMINAR DEFERIDA. INSUBSISTÊNCIA DOS ARGUMENTOS DE DEFESA. MERA DETENÇÃO PRECÁRIA. SUCESSÃO NO USO POR MERA PERMISSÃO OU TOLERÂNCIA. AUSÊNCIA DE POSSE. PROTEÇÃO POSSESSÓRIA. DESCABIMENTO. MANUTENÇÃO DA LIMINAR CONCEDIDA. PREENCHIMENTO DOS REQUISITOS LEGAIS. </w:t>
      </w:r>
    </w:p>
    <w:p w14:paraId="67BE8F1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Nos termos do art. 1.203 do CC/02, a posse ou ocupação mantém as mesmas características com que foi adquirida. A sucessão no uso por mera permissão ou tolerância também não caracteriza posse, por se tratar de ocupação precária (art. 1.208 do CC/2002). Havendo mera detenção precária do imóvel, se mostra descabida qualquer proteção possessória. Sendo infundadas as teses de defesa trazidas no agravo, é de ser mantida a decisão recorrida. (TJMG; AI 1.0114.14.013217-5/001; Rel. Des. Leite Praça; </w:t>
      </w:r>
      <w:proofErr w:type="spellStart"/>
      <w:r w:rsidRPr="0056443A">
        <w:rPr>
          <w:rFonts w:ascii="Arial" w:hAnsi="Arial" w:cs="Arial"/>
          <w:sz w:val="24"/>
          <w:szCs w:val="24"/>
        </w:rPr>
        <w:t>Julg</w:t>
      </w:r>
      <w:proofErr w:type="spellEnd"/>
      <w:r w:rsidRPr="0056443A">
        <w:rPr>
          <w:rFonts w:ascii="Arial" w:hAnsi="Arial" w:cs="Arial"/>
          <w:sz w:val="24"/>
          <w:szCs w:val="24"/>
        </w:rPr>
        <w:t>. 05/03/2015; DJEMG 17/03/2015)</w:t>
      </w:r>
    </w:p>
    <w:p w14:paraId="1484058A" w14:textId="77777777" w:rsidR="0056443A" w:rsidRPr="0056443A" w:rsidRDefault="0056443A" w:rsidP="0056443A">
      <w:pPr>
        <w:jc w:val="both"/>
        <w:rPr>
          <w:rFonts w:ascii="Arial" w:hAnsi="Arial" w:cs="Arial"/>
          <w:sz w:val="24"/>
          <w:szCs w:val="24"/>
        </w:rPr>
      </w:pPr>
    </w:p>
    <w:p w14:paraId="27D54651" w14:textId="77777777" w:rsidR="0056443A" w:rsidRPr="0056443A" w:rsidRDefault="0056443A" w:rsidP="0056443A">
      <w:pPr>
        <w:jc w:val="both"/>
        <w:rPr>
          <w:rFonts w:ascii="Arial" w:hAnsi="Arial" w:cs="Arial"/>
          <w:sz w:val="24"/>
          <w:szCs w:val="24"/>
        </w:rPr>
      </w:pPr>
    </w:p>
    <w:p w14:paraId="3BF75A5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2.3.3. Da data do esbulho – NCPC, art. 561, inc. III</w:t>
      </w:r>
    </w:p>
    <w:p w14:paraId="1B513E9B" w14:textId="77777777" w:rsidR="0056443A" w:rsidRPr="0056443A" w:rsidRDefault="0056443A" w:rsidP="0056443A">
      <w:pPr>
        <w:jc w:val="both"/>
        <w:rPr>
          <w:rFonts w:ascii="Arial" w:hAnsi="Arial" w:cs="Arial"/>
          <w:sz w:val="24"/>
          <w:szCs w:val="24"/>
        </w:rPr>
      </w:pPr>
    </w:p>
    <w:p w14:paraId="16DB7DFA"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Temos que o Réu fora cientificado do esbulho na data de 11/22/3333, data fixada na notificação para desocupação do imóvel. (</w:t>
      </w:r>
      <w:proofErr w:type="gramStart"/>
      <w:r w:rsidRPr="0056443A">
        <w:rPr>
          <w:rFonts w:ascii="Arial" w:hAnsi="Arial" w:cs="Arial"/>
          <w:sz w:val="24"/>
          <w:szCs w:val="24"/>
        </w:rPr>
        <w:t>doc.</w:t>
      </w:r>
      <w:proofErr w:type="gramEnd"/>
      <w:r w:rsidRPr="0056443A">
        <w:rPr>
          <w:rFonts w:ascii="Arial" w:hAnsi="Arial" w:cs="Arial"/>
          <w:sz w:val="24"/>
          <w:szCs w:val="24"/>
        </w:rPr>
        <w:t xml:space="preserve"> 03)</w:t>
      </w:r>
    </w:p>
    <w:p w14:paraId="7D7CA61A" w14:textId="77777777" w:rsidR="0056443A" w:rsidRPr="0056443A" w:rsidRDefault="0056443A" w:rsidP="0056443A">
      <w:pPr>
        <w:jc w:val="both"/>
        <w:rPr>
          <w:rFonts w:ascii="Arial" w:hAnsi="Arial" w:cs="Arial"/>
          <w:sz w:val="24"/>
          <w:szCs w:val="24"/>
        </w:rPr>
      </w:pPr>
    </w:p>
    <w:p w14:paraId="31FD1BD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Quanto à data para efeito de esbulho, ainda sob a égide das lições de Carlos Roberto Gonçalves, temos que:</w:t>
      </w:r>
    </w:p>
    <w:p w14:paraId="5621222D" w14:textId="77777777" w:rsidR="0056443A" w:rsidRPr="0056443A" w:rsidRDefault="0056443A" w:rsidP="0056443A">
      <w:pPr>
        <w:jc w:val="both"/>
        <w:rPr>
          <w:rFonts w:ascii="Arial" w:hAnsi="Arial" w:cs="Arial"/>
          <w:sz w:val="24"/>
          <w:szCs w:val="24"/>
        </w:rPr>
      </w:pPr>
    </w:p>
    <w:p w14:paraId="5028FED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O prazo começa a contar-se, em regra, no momento em que se dá a violação da posse. O esbulhador violento obtém a posse da coisa mediante o uso da coação física ou coação moral; o clandestino, de modo sub-reptício, às escondidas. No último caso, o prazo de ano e dia para o ajuizamento da ação possessória terá início a partir do momento em que o possuidor tomou conhecimento da prática do ato. </w:t>
      </w:r>
    </w:p>
    <w:p w14:paraId="4FC5B74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 . . )</w:t>
      </w:r>
    </w:p>
    <w:p w14:paraId="6F140C1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t xml:space="preserve">Nos casos do esbulho pacífico, o prazo de ano e dia se conta da data em que o possuidor direto deveria restituir a coisa ao possuidor indireto. Se aquela possuía a coisa por tempo determinado, a contagem se inicia a partir de seu vencimento, segundo a regra dies </w:t>
      </w:r>
      <w:proofErr w:type="spellStart"/>
      <w:r w:rsidRPr="0056443A">
        <w:rPr>
          <w:rFonts w:ascii="Arial" w:hAnsi="Arial" w:cs="Arial"/>
          <w:sz w:val="24"/>
          <w:szCs w:val="24"/>
        </w:rPr>
        <w:t>interpellat</w:t>
      </w:r>
      <w:proofErr w:type="spellEnd"/>
      <w:r w:rsidRPr="0056443A">
        <w:rPr>
          <w:rFonts w:ascii="Arial" w:hAnsi="Arial" w:cs="Arial"/>
          <w:sz w:val="24"/>
          <w:szCs w:val="24"/>
        </w:rPr>
        <w:t xml:space="preserve"> </w:t>
      </w:r>
      <w:proofErr w:type="gramStart"/>
      <w:r w:rsidRPr="0056443A">
        <w:rPr>
          <w:rFonts w:ascii="Arial" w:hAnsi="Arial" w:cs="Arial"/>
          <w:sz w:val="24"/>
          <w:szCs w:val="24"/>
        </w:rPr>
        <w:t>pro</w:t>
      </w:r>
      <w:proofErr w:type="gramEnd"/>
      <w:r w:rsidRPr="0056443A">
        <w:rPr>
          <w:rFonts w:ascii="Arial" w:hAnsi="Arial" w:cs="Arial"/>
          <w:sz w:val="24"/>
          <w:szCs w:val="24"/>
        </w:rPr>
        <w:t xml:space="preserve"> </w:t>
      </w:r>
      <w:proofErr w:type="spellStart"/>
      <w:r w:rsidRPr="0056443A">
        <w:rPr>
          <w:rFonts w:ascii="Arial" w:hAnsi="Arial" w:cs="Arial"/>
          <w:sz w:val="24"/>
          <w:szCs w:val="24"/>
        </w:rPr>
        <w:t>homine</w:t>
      </w:r>
      <w:proofErr w:type="spellEnd"/>
      <w:r w:rsidRPr="0056443A">
        <w:rPr>
          <w:rFonts w:ascii="Arial" w:hAnsi="Arial" w:cs="Arial"/>
          <w:sz w:val="24"/>
          <w:szCs w:val="24"/>
        </w:rPr>
        <w:t xml:space="preserve">. Se, todavia, a posse </w:t>
      </w:r>
      <w:r w:rsidRPr="0056443A">
        <w:rPr>
          <w:rFonts w:ascii="Arial" w:hAnsi="Arial" w:cs="Arial"/>
          <w:sz w:val="24"/>
          <w:szCs w:val="24"/>
        </w:rPr>
        <w:lastRenderedPageBreak/>
        <w:t xml:space="preserve">direta era exercida por prazo indeterminado, a possuidor deve ser constituído em mora mediante notificação prévia, com fixação do prazo para devolução da coisa, como condição para o ajuizamento do interdito. Vencido o prazo da notificação, inicia-se a contagem do mencionado prazo de ano e dia. </w:t>
      </w:r>
      <w:proofErr w:type="gramStart"/>
      <w:r w:rsidRPr="0056443A">
        <w:rPr>
          <w:rFonts w:ascii="Arial" w:hAnsi="Arial" w:cs="Arial"/>
          <w:sz w:val="24"/>
          <w:szCs w:val="24"/>
        </w:rPr>
        <w:t>“(</w:t>
      </w:r>
      <w:proofErr w:type="gramEnd"/>
      <w:r w:rsidRPr="0056443A">
        <w:rPr>
          <w:rFonts w:ascii="Arial" w:hAnsi="Arial" w:cs="Arial"/>
          <w:sz w:val="24"/>
          <w:szCs w:val="24"/>
        </w:rPr>
        <w:t xml:space="preserve">Ob. e aut. </w:t>
      </w:r>
      <w:proofErr w:type="spellStart"/>
      <w:proofErr w:type="gramStart"/>
      <w:r w:rsidRPr="0056443A">
        <w:rPr>
          <w:rFonts w:ascii="Arial" w:hAnsi="Arial" w:cs="Arial"/>
          <w:sz w:val="24"/>
          <w:szCs w:val="24"/>
        </w:rPr>
        <w:t>cits</w:t>
      </w:r>
      <w:proofErr w:type="spellEnd"/>
      <w:proofErr w:type="gramEnd"/>
      <w:r w:rsidRPr="0056443A">
        <w:rPr>
          <w:rFonts w:ascii="Arial" w:hAnsi="Arial" w:cs="Arial"/>
          <w:sz w:val="24"/>
          <w:szCs w:val="24"/>
        </w:rPr>
        <w:t>. Págs. 136-137)</w:t>
      </w:r>
    </w:p>
    <w:p w14:paraId="6F2068CD" w14:textId="77777777" w:rsidR="0056443A" w:rsidRPr="0056443A" w:rsidRDefault="0056443A" w:rsidP="0056443A">
      <w:pPr>
        <w:jc w:val="both"/>
        <w:rPr>
          <w:rFonts w:ascii="Arial" w:hAnsi="Arial" w:cs="Arial"/>
          <w:sz w:val="24"/>
          <w:szCs w:val="24"/>
        </w:rPr>
      </w:pPr>
    </w:p>
    <w:p w14:paraId="49618552" w14:textId="77777777" w:rsidR="0056443A" w:rsidRPr="0056443A" w:rsidRDefault="0056443A" w:rsidP="0056443A">
      <w:pPr>
        <w:jc w:val="both"/>
        <w:rPr>
          <w:rFonts w:ascii="Arial" w:hAnsi="Arial" w:cs="Arial"/>
          <w:sz w:val="24"/>
          <w:szCs w:val="24"/>
        </w:rPr>
      </w:pPr>
    </w:p>
    <w:p w14:paraId="3D44769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(2.4.) – DO PLEITO DE ‘MEDIDA LIMINAR’ </w:t>
      </w:r>
    </w:p>
    <w:p w14:paraId="0685D2C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(NCPC, art. 562, caput)</w:t>
      </w:r>
    </w:p>
    <w:p w14:paraId="56F4BD71" w14:textId="77777777" w:rsidR="0056443A" w:rsidRPr="0056443A" w:rsidRDefault="0056443A" w:rsidP="0056443A">
      <w:pPr>
        <w:jc w:val="both"/>
        <w:rPr>
          <w:rFonts w:ascii="Arial" w:hAnsi="Arial" w:cs="Arial"/>
          <w:sz w:val="24"/>
          <w:szCs w:val="24"/>
        </w:rPr>
      </w:pPr>
    </w:p>
    <w:p w14:paraId="06147005"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A Autora faz jus à medida liminar de reintegração de posse inaudita altera parte. (NCPC, art. 562, caput c/</w:t>
      </w:r>
      <w:proofErr w:type="gramStart"/>
      <w:r w:rsidRPr="0056443A">
        <w:rPr>
          <w:rFonts w:ascii="Arial" w:hAnsi="Arial" w:cs="Arial"/>
          <w:sz w:val="24"/>
          <w:szCs w:val="24"/>
        </w:rPr>
        <w:t>c</w:t>
      </w:r>
      <w:proofErr w:type="gramEnd"/>
      <w:r w:rsidRPr="0056443A">
        <w:rPr>
          <w:rFonts w:ascii="Arial" w:hAnsi="Arial" w:cs="Arial"/>
          <w:sz w:val="24"/>
          <w:szCs w:val="24"/>
        </w:rPr>
        <w:t xml:space="preserve"> art. 563)</w:t>
      </w:r>
    </w:p>
    <w:p w14:paraId="591A2CBB" w14:textId="77777777" w:rsidR="0056443A" w:rsidRPr="0056443A" w:rsidRDefault="0056443A" w:rsidP="0056443A">
      <w:pPr>
        <w:jc w:val="both"/>
        <w:rPr>
          <w:rFonts w:ascii="Arial" w:hAnsi="Arial" w:cs="Arial"/>
          <w:sz w:val="24"/>
          <w:szCs w:val="24"/>
        </w:rPr>
      </w:pPr>
    </w:p>
    <w:p w14:paraId="5C32F59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A presente peça vestibular se encontra devida instruída prova documental robusta, prova essa pertinente aos pressupostos estatuídos no art. 561 e seus incisos do Novo Estatuto de Ritos. </w:t>
      </w:r>
    </w:p>
    <w:p w14:paraId="2A05BFFC" w14:textId="77777777" w:rsidR="0056443A" w:rsidRPr="0056443A" w:rsidRDefault="0056443A" w:rsidP="0056443A">
      <w:pPr>
        <w:jc w:val="both"/>
        <w:rPr>
          <w:rFonts w:ascii="Arial" w:hAnsi="Arial" w:cs="Arial"/>
          <w:sz w:val="24"/>
          <w:szCs w:val="24"/>
        </w:rPr>
      </w:pPr>
    </w:p>
    <w:p w14:paraId="39A2FD9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Frise-se, mais, que na hipótese em vertente não há que se falar em periculum in mora. É que, como consabido, não estamos diante de pleito com função cautelar. Pelo contrário, aqui se debruça acerca do direito objetivo material. </w:t>
      </w:r>
    </w:p>
    <w:p w14:paraId="3CE84C6C" w14:textId="77777777" w:rsidR="0056443A" w:rsidRPr="0056443A" w:rsidRDefault="0056443A" w:rsidP="0056443A">
      <w:pPr>
        <w:jc w:val="both"/>
        <w:rPr>
          <w:rFonts w:ascii="Arial" w:hAnsi="Arial" w:cs="Arial"/>
          <w:sz w:val="24"/>
          <w:szCs w:val="24"/>
        </w:rPr>
      </w:pPr>
    </w:p>
    <w:p w14:paraId="36C8A3A7"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Nesse diapasão, provados o esbulho e sua data (força nova), há de ser concedida a medida liminar, independentemente da oitiva preliminar da parte promovida. Não há que se falar, portanto, em ato discricionário quanto à concessão desta medida judicial. </w:t>
      </w:r>
    </w:p>
    <w:p w14:paraId="4A3AFE08" w14:textId="77777777" w:rsidR="0056443A" w:rsidRPr="0056443A" w:rsidRDefault="0056443A" w:rsidP="0056443A">
      <w:pPr>
        <w:jc w:val="both"/>
        <w:rPr>
          <w:rFonts w:ascii="Arial" w:hAnsi="Arial" w:cs="Arial"/>
          <w:sz w:val="24"/>
          <w:szCs w:val="24"/>
        </w:rPr>
      </w:pPr>
    </w:p>
    <w:p w14:paraId="543053D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A propósito, vejamos as lições de Humberto Theodoro Júnior:</w:t>
      </w:r>
    </w:p>
    <w:p w14:paraId="5D0E591E" w14:textId="77777777" w:rsidR="0056443A" w:rsidRPr="0056443A" w:rsidRDefault="0056443A" w:rsidP="0056443A">
      <w:pPr>
        <w:jc w:val="both"/>
        <w:rPr>
          <w:rFonts w:ascii="Arial" w:hAnsi="Arial" w:cs="Arial"/>
          <w:sz w:val="24"/>
          <w:szCs w:val="24"/>
        </w:rPr>
      </w:pPr>
    </w:p>
    <w:p w14:paraId="0A7DBC34"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proofErr w:type="gramStart"/>
      <w:r w:rsidRPr="0056443A">
        <w:rPr>
          <w:rFonts w:ascii="Arial" w:hAnsi="Arial" w:cs="Arial"/>
          <w:sz w:val="24"/>
          <w:szCs w:val="24"/>
        </w:rPr>
        <w:tab/>
        <w:t>Costuma-se</w:t>
      </w:r>
      <w:proofErr w:type="gramEnd"/>
      <w:r w:rsidRPr="0056443A">
        <w:rPr>
          <w:rFonts w:ascii="Arial" w:hAnsi="Arial" w:cs="Arial"/>
          <w:sz w:val="24"/>
          <w:szCs w:val="24"/>
        </w:rPr>
        <w:t xml:space="preserve"> encontrar em alguns acórdãos a afirmativa de que o juiz teria grande autonomia ou poder discricionário para solucionar o pedido de mandado liminar nas ações possessórias. A tese, porém, não merece guarida. A lei confere ao possuidor o direito à proteção liminar de sua posse, mas o faz subordinando-o a fatos precisos, como a existência da posse, a moléstia sofrida na posse e a data em que tenha ocorrido.</w:t>
      </w:r>
    </w:p>
    <w:p w14:paraId="14A9C460"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lastRenderedPageBreak/>
        <w:t xml:space="preserve"> </w:t>
      </w:r>
      <w:r w:rsidRPr="0056443A">
        <w:rPr>
          <w:rFonts w:ascii="Arial" w:hAnsi="Arial" w:cs="Arial"/>
          <w:sz w:val="24"/>
          <w:szCs w:val="24"/>
        </w:rPr>
        <w:tab/>
        <w:t xml:space="preserve">Logo, reunidos os pressupostos da medida, não fica ao alvedrio do juiz deferi-la ou não, o mesmo ocorrendo quando não haja a necessária comprovação. </w:t>
      </w:r>
      <w:proofErr w:type="gramStart"/>
      <w:r w:rsidRPr="0056443A">
        <w:rPr>
          <w:rFonts w:ascii="Arial" w:hAnsi="Arial" w:cs="Arial"/>
          <w:sz w:val="24"/>
          <w:szCs w:val="24"/>
        </w:rPr>
        <w:t>“(</w:t>
      </w:r>
      <w:proofErr w:type="gramEnd"/>
      <w:r w:rsidRPr="0056443A">
        <w:rPr>
          <w:rFonts w:ascii="Arial" w:hAnsi="Arial" w:cs="Arial"/>
          <w:sz w:val="24"/>
          <w:szCs w:val="24"/>
        </w:rPr>
        <w:t>THEDORO JÚNIOR, Humberto. Curso de Direito Processual Civil. 42ª Ed. Rio de Janeiro: Forense, 2010, vol. 3. Pág. 119)</w:t>
      </w:r>
    </w:p>
    <w:p w14:paraId="4FDF542A" w14:textId="77777777" w:rsidR="0056443A" w:rsidRPr="0056443A" w:rsidRDefault="0056443A" w:rsidP="0056443A">
      <w:pPr>
        <w:jc w:val="both"/>
        <w:rPr>
          <w:rFonts w:ascii="Arial" w:hAnsi="Arial" w:cs="Arial"/>
          <w:sz w:val="24"/>
          <w:szCs w:val="24"/>
        </w:rPr>
      </w:pPr>
    </w:p>
    <w:p w14:paraId="45ACBF6D" w14:textId="77777777" w:rsidR="0056443A" w:rsidRPr="0056443A" w:rsidRDefault="0056443A" w:rsidP="0056443A">
      <w:pPr>
        <w:jc w:val="both"/>
        <w:rPr>
          <w:rFonts w:ascii="Arial" w:hAnsi="Arial" w:cs="Arial"/>
          <w:sz w:val="24"/>
          <w:szCs w:val="24"/>
        </w:rPr>
      </w:pPr>
    </w:p>
    <w:p w14:paraId="0F388F3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Nesse sentido:</w:t>
      </w:r>
    </w:p>
    <w:p w14:paraId="07DB09ED" w14:textId="77777777" w:rsidR="0056443A" w:rsidRPr="0056443A" w:rsidRDefault="0056443A" w:rsidP="0056443A">
      <w:pPr>
        <w:jc w:val="both"/>
        <w:rPr>
          <w:rFonts w:ascii="Arial" w:hAnsi="Arial" w:cs="Arial"/>
          <w:sz w:val="24"/>
          <w:szCs w:val="24"/>
        </w:rPr>
      </w:pPr>
    </w:p>
    <w:p w14:paraId="79186D8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AGRAVO INTERNO. AGRAVO DE INSTRUMENTO. REINTEGRAÇÃO DE POSSE. MEDIDA LIMINAR. POSSIBILIDADE. COMPROVADOS OS REQUISITOS DO ART. 927 DO CPC. </w:t>
      </w:r>
    </w:p>
    <w:p w14:paraId="392E1F1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É viável o deferimento da medida liminar de reintegração de posse quando demonstrados os requisitos do artigo 927 do </w:t>
      </w:r>
      <w:proofErr w:type="spellStart"/>
      <w:r w:rsidRPr="0056443A">
        <w:rPr>
          <w:rFonts w:ascii="Arial" w:hAnsi="Arial" w:cs="Arial"/>
          <w:sz w:val="24"/>
          <w:szCs w:val="24"/>
        </w:rPr>
        <w:t>cpc</w:t>
      </w:r>
      <w:proofErr w:type="spellEnd"/>
      <w:r w:rsidRPr="0056443A">
        <w:rPr>
          <w:rFonts w:ascii="Arial" w:hAnsi="Arial" w:cs="Arial"/>
          <w:sz w:val="24"/>
          <w:szCs w:val="24"/>
        </w:rPr>
        <w:t xml:space="preserve">: Posse anterior, prática de esbulho, perda da posse em razão do ato ilícito, e data de sua ocorrência. Na espécie, </w:t>
      </w:r>
      <w:proofErr w:type="gramStart"/>
      <w:r w:rsidRPr="0056443A">
        <w:rPr>
          <w:rFonts w:ascii="Arial" w:hAnsi="Arial" w:cs="Arial"/>
          <w:sz w:val="24"/>
          <w:szCs w:val="24"/>
        </w:rPr>
        <w:t>a posse anterior do município, bem como a ocupação da área pelo recorrente, em data recente, restaram</w:t>
      </w:r>
      <w:proofErr w:type="gramEnd"/>
      <w:r w:rsidRPr="0056443A">
        <w:rPr>
          <w:rFonts w:ascii="Arial" w:hAnsi="Arial" w:cs="Arial"/>
          <w:sz w:val="24"/>
          <w:szCs w:val="24"/>
        </w:rPr>
        <w:t xml:space="preserve"> demonstradas. Contrato particular de compra e venda do imóvel que não pode ser oposto em face do ente público. Mantida a decisão agravada. Decisão que se mantém por seus próprios fundamentos, tendo em vista a ausência de elementos capazes de alterar a convicção antes firmada. Negado provimento ao agravo interno. Unânime. (TJRS; AG 0489370-27.2014.8.21.7000; Passo Fundo; Décima Oitava Câmara Cível; Rel. Des. Nelson José Gonzaga; </w:t>
      </w:r>
      <w:proofErr w:type="spellStart"/>
      <w:r w:rsidRPr="0056443A">
        <w:rPr>
          <w:rFonts w:ascii="Arial" w:hAnsi="Arial" w:cs="Arial"/>
          <w:sz w:val="24"/>
          <w:szCs w:val="24"/>
        </w:rPr>
        <w:t>Julg</w:t>
      </w:r>
      <w:proofErr w:type="spellEnd"/>
      <w:r w:rsidRPr="0056443A">
        <w:rPr>
          <w:rFonts w:ascii="Arial" w:hAnsi="Arial" w:cs="Arial"/>
          <w:sz w:val="24"/>
          <w:szCs w:val="24"/>
        </w:rPr>
        <w:t>. 19/03/2015; DJERS 25/03/2015)</w:t>
      </w:r>
    </w:p>
    <w:p w14:paraId="396ABF58" w14:textId="77777777" w:rsidR="0056443A" w:rsidRPr="0056443A" w:rsidRDefault="0056443A" w:rsidP="0056443A">
      <w:pPr>
        <w:jc w:val="both"/>
        <w:rPr>
          <w:rFonts w:ascii="Arial" w:hAnsi="Arial" w:cs="Arial"/>
          <w:sz w:val="24"/>
          <w:szCs w:val="24"/>
        </w:rPr>
      </w:pPr>
    </w:p>
    <w:p w14:paraId="4F3B6996" w14:textId="77777777" w:rsidR="0056443A" w:rsidRPr="0056443A" w:rsidRDefault="0056443A" w:rsidP="0056443A">
      <w:pPr>
        <w:jc w:val="both"/>
        <w:rPr>
          <w:rFonts w:ascii="Arial" w:hAnsi="Arial" w:cs="Arial"/>
          <w:sz w:val="24"/>
          <w:szCs w:val="24"/>
        </w:rPr>
      </w:pPr>
    </w:p>
    <w:p w14:paraId="354E786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Destarte, pede a Autora seja deferida medida liminar de reintegração de posse no imóvel descrito nesta peça </w:t>
      </w:r>
      <w:proofErr w:type="spellStart"/>
      <w:r w:rsidRPr="0056443A">
        <w:rPr>
          <w:rFonts w:ascii="Arial" w:hAnsi="Arial" w:cs="Arial"/>
          <w:sz w:val="24"/>
          <w:szCs w:val="24"/>
        </w:rPr>
        <w:t>proemial</w:t>
      </w:r>
      <w:proofErr w:type="spellEnd"/>
      <w:r w:rsidRPr="0056443A">
        <w:rPr>
          <w:rFonts w:ascii="Arial" w:hAnsi="Arial" w:cs="Arial"/>
          <w:sz w:val="24"/>
          <w:szCs w:val="24"/>
        </w:rPr>
        <w:t xml:space="preserve"> (NCPC, art. 563), sem a </w:t>
      </w:r>
      <w:proofErr w:type="spellStart"/>
      <w:r w:rsidRPr="0056443A">
        <w:rPr>
          <w:rFonts w:ascii="Arial" w:hAnsi="Arial" w:cs="Arial"/>
          <w:sz w:val="24"/>
          <w:szCs w:val="24"/>
        </w:rPr>
        <w:t>outiva</w:t>
      </w:r>
      <w:proofErr w:type="spellEnd"/>
      <w:r w:rsidRPr="0056443A">
        <w:rPr>
          <w:rFonts w:ascii="Arial" w:hAnsi="Arial" w:cs="Arial"/>
          <w:sz w:val="24"/>
          <w:szCs w:val="24"/>
        </w:rPr>
        <w:t xml:space="preserve"> prévia da parte contrária, a ser cumprida por dois oficiais de justiça, facultando-lhes a utilização de força policial e ordem de arrombamento. </w:t>
      </w:r>
    </w:p>
    <w:p w14:paraId="1E6F051B" w14:textId="77777777" w:rsidR="0056443A" w:rsidRPr="0056443A" w:rsidRDefault="0056443A" w:rsidP="0056443A">
      <w:pPr>
        <w:jc w:val="both"/>
        <w:rPr>
          <w:rFonts w:ascii="Arial" w:hAnsi="Arial" w:cs="Arial"/>
          <w:sz w:val="24"/>
          <w:szCs w:val="24"/>
        </w:rPr>
      </w:pPr>
    </w:p>
    <w:p w14:paraId="24239AED"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Sucessivamente (NCPC, art. 326), caso assim não entenda Vossa Excelência, o que se diz apenas por argumentar, de já a Autora destaca o rol de testemunhas, na eventual hipótese de audiência prévia de justificação. (NCPC, </w:t>
      </w:r>
      <w:proofErr w:type="spellStart"/>
      <w:r w:rsidRPr="0056443A">
        <w:rPr>
          <w:rFonts w:ascii="Arial" w:hAnsi="Arial" w:cs="Arial"/>
          <w:sz w:val="24"/>
          <w:szCs w:val="24"/>
        </w:rPr>
        <w:t>art</w:t>
      </w:r>
      <w:proofErr w:type="spellEnd"/>
      <w:r w:rsidRPr="0056443A">
        <w:rPr>
          <w:rFonts w:ascii="Arial" w:hAnsi="Arial" w:cs="Arial"/>
          <w:sz w:val="24"/>
          <w:szCs w:val="24"/>
        </w:rPr>
        <w:t xml:space="preserve"> 562, segunda parte)</w:t>
      </w:r>
    </w:p>
    <w:p w14:paraId="04FB3FD5" w14:textId="77777777" w:rsidR="0056443A" w:rsidRPr="0056443A" w:rsidRDefault="0056443A" w:rsidP="0056443A">
      <w:pPr>
        <w:jc w:val="both"/>
        <w:rPr>
          <w:rFonts w:ascii="Arial" w:hAnsi="Arial" w:cs="Arial"/>
          <w:sz w:val="24"/>
          <w:szCs w:val="24"/>
        </w:rPr>
      </w:pPr>
    </w:p>
    <w:p w14:paraId="35CC77AA"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1) Fulano das Quantas, casado, corretor de imóveis, residente e domiciliado na Rua </w:t>
      </w:r>
      <w:proofErr w:type="spellStart"/>
      <w:r w:rsidRPr="0056443A">
        <w:rPr>
          <w:rFonts w:ascii="Arial" w:hAnsi="Arial" w:cs="Arial"/>
          <w:sz w:val="24"/>
          <w:szCs w:val="24"/>
        </w:rPr>
        <w:t>Xista</w:t>
      </w:r>
      <w:proofErr w:type="spellEnd"/>
      <w:r w:rsidRPr="0056443A">
        <w:rPr>
          <w:rFonts w:ascii="Arial" w:hAnsi="Arial" w:cs="Arial"/>
          <w:sz w:val="24"/>
          <w:szCs w:val="24"/>
        </w:rPr>
        <w:t>, nº. 4455, em Curitiba (PR);</w:t>
      </w:r>
    </w:p>
    <w:p w14:paraId="001791D3" w14:textId="77777777" w:rsidR="0056443A" w:rsidRPr="0056443A" w:rsidRDefault="0056443A" w:rsidP="0056443A">
      <w:pPr>
        <w:jc w:val="both"/>
        <w:rPr>
          <w:rFonts w:ascii="Arial" w:hAnsi="Arial" w:cs="Arial"/>
          <w:sz w:val="24"/>
          <w:szCs w:val="24"/>
        </w:rPr>
      </w:pPr>
    </w:p>
    <w:p w14:paraId="2341EFB2"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 Beltrano das Quantas, casado, corretor de imóveis, residente e domiciliado na Rua </w:t>
      </w:r>
      <w:proofErr w:type="spellStart"/>
      <w:r w:rsidRPr="0056443A">
        <w:rPr>
          <w:rFonts w:ascii="Arial" w:hAnsi="Arial" w:cs="Arial"/>
          <w:sz w:val="24"/>
          <w:szCs w:val="24"/>
        </w:rPr>
        <w:t>Xista</w:t>
      </w:r>
      <w:proofErr w:type="spellEnd"/>
      <w:r w:rsidRPr="0056443A">
        <w:rPr>
          <w:rFonts w:ascii="Arial" w:hAnsi="Arial" w:cs="Arial"/>
          <w:sz w:val="24"/>
          <w:szCs w:val="24"/>
        </w:rPr>
        <w:t>, nº. 4455, em Curitiba (PR);</w:t>
      </w:r>
    </w:p>
    <w:p w14:paraId="3395414E" w14:textId="77777777" w:rsidR="0056443A" w:rsidRPr="0056443A" w:rsidRDefault="0056443A" w:rsidP="0056443A">
      <w:pPr>
        <w:jc w:val="both"/>
        <w:rPr>
          <w:rFonts w:ascii="Arial" w:hAnsi="Arial" w:cs="Arial"/>
          <w:sz w:val="24"/>
          <w:szCs w:val="24"/>
        </w:rPr>
      </w:pPr>
    </w:p>
    <w:p w14:paraId="7FF712F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Requer-se, ainda no importe do pleito sucessivo, a citação da Ré para comparecer à audiência de justificação (NCPC, art. 928, segunda parte) e a intimação das testemunhas também para esta finalidade processual e, ademais, provado o quadro fático ora narrado, de logo </w:t>
      </w:r>
      <w:proofErr w:type="spellStart"/>
      <w:r w:rsidRPr="0056443A">
        <w:rPr>
          <w:rFonts w:ascii="Arial" w:hAnsi="Arial" w:cs="Arial"/>
          <w:sz w:val="24"/>
          <w:szCs w:val="24"/>
        </w:rPr>
        <w:t>pleiteiae</w:t>
      </w:r>
      <w:proofErr w:type="spellEnd"/>
      <w:r w:rsidRPr="0056443A">
        <w:rPr>
          <w:rFonts w:ascii="Arial" w:hAnsi="Arial" w:cs="Arial"/>
          <w:sz w:val="24"/>
          <w:szCs w:val="24"/>
        </w:rPr>
        <w:t xml:space="preserve"> o deferimento da medida liminar de reintegração de posse. (NCPC, 563)</w:t>
      </w:r>
    </w:p>
    <w:p w14:paraId="449E9DF0" w14:textId="77777777" w:rsidR="0056443A" w:rsidRPr="0056443A" w:rsidRDefault="0056443A" w:rsidP="0056443A">
      <w:pPr>
        <w:jc w:val="both"/>
        <w:rPr>
          <w:rFonts w:ascii="Arial" w:hAnsi="Arial" w:cs="Arial"/>
          <w:sz w:val="24"/>
          <w:szCs w:val="24"/>
        </w:rPr>
      </w:pPr>
    </w:p>
    <w:p w14:paraId="141DD9B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(2.5.) – PEDIDO CUMULADO DE INDENIZAÇÃO </w:t>
      </w:r>
    </w:p>
    <w:p w14:paraId="583690B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(NCPC, art. 555, inc. I)</w:t>
      </w:r>
    </w:p>
    <w:p w14:paraId="405B3FCF" w14:textId="77777777" w:rsidR="0056443A" w:rsidRPr="0056443A" w:rsidRDefault="0056443A" w:rsidP="0056443A">
      <w:pPr>
        <w:jc w:val="both"/>
        <w:rPr>
          <w:rFonts w:ascii="Arial" w:hAnsi="Arial" w:cs="Arial"/>
          <w:sz w:val="24"/>
          <w:szCs w:val="24"/>
        </w:rPr>
      </w:pPr>
    </w:p>
    <w:p w14:paraId="07ABB4EE"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De outro contexto, a Ré fora cientificada na notificação que, a título de indenização, pagaria à Autora a quantia mensal de R$ 0.000,00 </w:t>
      </w:r>
      <w:proofErr w:type="gramStart"/>
      <w:r w:rsidRPr="0056443A">
        <w:rPr>
          <w:rFonts w:ascii="Arial" w:hAnsi="Arial" w:cs="Arial"/>
          <w:sz w:val="24"/>
          <w:szCs w:val="24"/>
        </w:rPr>
        <w:t>(.</w:t>
      </w:r>
      <w:proofErr w:type="spellStart"/>
      <w:r w:rsidRPr="0056443A">
        <w:rPr>
          <w:rFonts w:ascii="Arial" w:hAnsi="Arial" w:cs="Arial"/>
          <w:sz w:val="24"/>
          <w:szCs w:val="24"/>
        </w:rPr>
        <w:t>x.x.x</w:t>
      </w:r>
      <w:proofErr w:type="spellEnd"/>
      <w:r w:rsidRPr="0056443A">
        <w:rPr>
          <w:rFonts w:ascii="Arial" w:hAnsi="Arial" w:cs="Arial"/>
          <w:sz w:val="24"/>
          <w:szCs w:val="24"/>
        </w:rPr>
        <w:t>.</w:t>
      </w:r>
      <w:proofErr w:type="gramEnd"/>
      <w:r w:rsidRPr="0056443A">
        <w:rPr>
          <w:rFonts w:ascii="Arial" w:hAnsi="Arial" w:cs="Arial"/>
          <w:sz w:val="24"/>
          <w:szCs w:val="24"/>
        </w:rPr>
        <w:t xml:space="preserve">), valor esse correspondente ao valor de aluguel de imóveis na região. Tal conduta fora feita por analogia ao que preceitua o art. 582 do Código Civil, uma vez que a Ré figura, grosso modo, como comodatária quando nada paga em retribuição à utilização do imóvel. </w:t>
      </w:r>
    </w:p>
    <w:p w14:paraId="6148C1E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p>
    <w:p w14:paraId="3F44E5DC"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Subsidiariamente a Autora requer que Vossa Excelência estipule valor de aluguel mensal, ou outro valor diário, a título de indenização pela utilização do imóvel em apreço. </w:t>
      </w:r>
    </w:p>
    <w:p w14:paraId="51330250" w14:textId="77777777" w:rsidR="0056443A" w:rsidRPr="0056443A" w:rsidRDefault="0056443A" w:rsidP="0056443A">
      <w:pPr>
        <w:jc w:val="both"/>
        <w:rPr>
          <w:rFonts w:ascii="Arial" w:hAnsi="Arial" w:cs="Arial"/>
          <w:sz w:val="24"/>
          <w:szCs w:val="24"/>
        </w:rPr>
      </w:pPr>
    </w:p>
    <w:p w14:paraId="2CEC854A" w14:textId="77777777" w:rsidR="0056443A" w:rsidRPr="0056443A" w:rsidRDefault="0056443A" w:rsidP="0056443A">
      <w:pPr>
        <w:jc w:val="both"/>
        <w:rPr>
          <w:rFonts w:ascii="Arial" w:hAnsi="Arial" w:cs="Arial"/>
          <w:sz w:val="24"/>
          <w:szCs w:val="24"/>
        </w:rPr>
      </w:pPr>
    </w:p>
    <w:p w14:paraId="08C233A4"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( 3</w:t>
      </w:r>
      <w:proofErr w:type="gramEnd"/>
      <w:r w:rsidRPr="0056443A">
        <w:rPr>
          <w:rFonts w:ascii="Arial" w:hAnsi="Arial" w:cs="Arial"/>
          <w:sz w:val="24"/>
          <w:szCs w:val="24"/>
        </w:rPr>
        <w:t xml:space="preserve"> ) – DOS PEDIDOS E REQUERIMENTOS </w:t>
      </w:r>
    </w:p>
    <w:p w14:paraId="1D43C032" w14:textId="77777777" w:rsidR="0056443A" w:rsidRPr="0056443A" w:rsidRDefault="0056443A" w:rsidP="0056443A">
      <w:pPr>
        <w:jc w:val="both"/>
        <w:rPr>
          <w:rFonts w:ascii="Arial" w:hAnsi="Arial" w:cs="Arial"/>
          <w:sz w:val="24"/>
          <w:szCs w:val="24"/>
        </w:rPr>
      </w:pPr>
    </w:p>
    <w:p w14:paraId="4B30F8AF"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proofErr w:type="gramStart"/>
      <w:r w:rsidRPr="0056443A">
        <w:rPr>
          <w:rFonts w:ascii="Arial" w:hAnsi="Arial" w:cs="Arial"/>
          <w:sz w:val="24"/>
          <w:szCs w:val="24"/>
        </w:rPr>
        <w:t>POSTO  ISSO</w:t>
      </w:r>
      <w:proofErr w:type="gramEnd"/>
      <w:r w:rsidRPr="0056443A">
        <w:rPr>
          <w:rFonts w:ascii="Arial" w:hAnsi="Arial" w:cs="Arial"/>
          <w:sz w:val="24"/>
          <w:szCs w:val="24"/>
        </w:rPr>
        <w:t>,</w:t>
      </w:r>
    </w:p>
    <w:p w14:paraId="30C12618"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estando</w:t>
      </w:r>
      <w:proofErr w:type="gramEnd"/>
      <w:r w:rsidRPr="0056443A">
        <w:rPr>
          <w:rFonts w:ascii="Arial" w:hAnsi="Arial" w:cs="Arial"/>
          <w:sz w:val="24"/>
          <w:szCs w:val="24"/>
        </w:rPr>
        <w:t xml:space="preserve"> a inicial devidamente instruída, a Autora solicita que Vossa Excelência se digne de tomar as seguintes providências:</w:t>
      </w:r>
    </w:p>
    <w:p w14:paraId="7CDF3C5C" w14:textId="77777777" w:rsidR="0056443A" w:rsidRPr="0056443A" w:rsidRDefault="0056443A" w:rsidP="0056443A">
      <w:pPr>
        <w:jc w:val="both"/>
        <w:rPr>
          <w:rFonts w:ascii="Arial" w:hAnsi="Arial" w:cs="Arial"/>
          <w:sz w:val="24"/>
          <w:szCs w:val="24"/>
        </w:rPr>
      </w:pPr>
    </w:p>
    <w:p w14:paraId="1B1B86DE" w14:textId="77777777" w:rsidR="0056443A" w:rsidRPr="0056443A" w:rsidRDefault="0056443A" w:rsidP="0056443A">
      <w:pPr>
        <w:jc w:val="both"/>
        <w:rPr>
          <w:rFonts w:ascii="Arial" w:hAnsi="Arial" w:cs="Arial"/>
          <w:sz w:val="24"/>
          <w:szCs w:val="24"/>
        </w:rPr>
      </w:pPr>
      <w:proofErr w:type="gramStart"/>
      <w:r w:rsidRPr="0056443A">
        <w:rPr>
          <w:rFonts w:ascii="Arial" w:hAnsi="Arial" w:cs="Arial"/>
          <w:sz w:val="24"/>
          <w:szCs w:val="24"/>
        </w:rPr>
        <w:t>a) Requer</w:t>
      </w:r>
      <w:proofErr w:type="gramEnd"/>
      <w:r w:rsidRPr="0056443A">
        <w:rPr>
          <w:rFonts w:ascii="Arial" w:hAnsi="Arial" w:cs="Arial"/>
          <w:sz w:val="24"/>
          <w:szCs w:val="24"/>
        </w:rPr>
        <w:t>, após cumprida a medida liminar em ensejo, a citação da Ré para, no prazo de cinco dias, querendo, contestar a ação (NCPC, art. 564);</w:t>
      </w:r>
    </w:p>
    <w:p w14:paraId="0A11A66D" w14:textId="77777777" w:rsidR="0056443A" w:rsidRPr="0056443A" w:rsidRDefault="0056443A" w:rsidP="0056443A">
      <w:pPr>
        <w:jc w:val="both"/>
        <w:rPr>
          <w:rFonts w:ascii="Arial" w:hAnsi="Arial" w:cs="Arial"/>
          <w:sz w:val="24"/>
          <w:szCs w:val="24"/>
        </w:rPr>
      </w:pPr>
    </w:p>
    <w:p w14:paraId="622A6AC7"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b) pede, mais, sejam julgados procedentes os pedidos formulados na presente ação, confirmando-se por definitivo a medida liminar antes conferida e reintegrando na posse a Autora, condenando a parte Ré a pagar indenização correspondente a aluguel mensal de R$ 0.000,00 </w:t>
      </w:r>
      <w:proofErr w:type="gramStart"/>
      <w:r w:rsidRPr="0056443A">
        <w:rPr>
          <w:rFonts w:ascii="Arial" w:hAnsi="Arial" w:cs="Arial"/>
          <w:sz w:val="24"/>
          <w:szCs w:val="24"/>
        </w:rPr>
        <w:t>( .</w:t>
      </w:r>
      <w:proofErr w:type="spellStart"/>
      <w:proofErr w:type="gramEnd"/>
      <w:r w:rsidRPr="0056443A">
        <w:rPr>
          <w:rFonts w:ascii="Arial" w:hAnsi="Arial" w:cs="Arial"/>
          <w:sz w:val="24"/>
          <w:szCs w:val="24"/>
        </w:rPr>
        <w:t>x.x.x</w:t>
      </w:r>
      <w:proofErr w:type="spellEnd"/>
      <w:r w:rsidRPr="0056443A">
        <w:rPr>
          <w:rFonts w:ascii="Arial" w:hAnsi="Arial" w:cs="Arial"/>
          <w:sz w:val="24"/>
          <w:szCs w:val="24"/>
        </w:rPr>
        <w:t xml:space="preserve">. ), até a efetiva entrega do imóvel. Sucessivamente, </w:t>
      </w:r>
      <w:proofErr w:type="spellStart"/>
      <w:r w:rsidRPr="0056443A">
        <w:rPr>
          <w:rFonts w:ascii="Arial" w:hAnsi="Arial" w:cs="Arial"/>
          <w:sz w:val="24"/>
          <w:szCs w:val="24"/>
        </w:rPr>
        <w:t>pleteia</w:t>
      </w:r>
      <w:proofErr w:type="spellEnd"/>
      <w:r w:rsidRPr="0056443A">
        <w:rPr>
          <w:rFonts w:ascii="Arial" w:hAnsi="Arial" w:cs="Arial"/>
          <w:sz w:val="24"/>
          <w:szCs w:val="24"/>
        </w:rPr>
        <w:t xml:space="preserve"> indenização a ser definida por Vossa Excelência, ou em liquidação de sentença;</w:t>
      </w:r>
    </w:p>
    <w:p w14:paraId="104F4391" w14:textId="77777777" w:rsidR="0056443A" w:rsidRPr="0056443A" w:rsidRDefault="0056443A" w:rsidP="0056443A">
      <w:pPr>
        <w:jc w:val="both"/>
        <w:rPr>
          <w:rFonts w:ascii="Arial" w:hAnsi="Arial" w:cs="Arial"/>
          <w:sz w:val="24"/>
          <w:szCs w:val="24"/>
        </w:rPr>
      </w:pPr>
    </w:p>
    <w:p w14:paraId="4BDFBB0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c) pede, outrossim, seja a Ré condenada ao pagamento de honorários advocatícios e custas processuais;</w:t>
      </w:r>
    </w:p>
    <w:p w14:paraId="61172C4C" w14:textId="77777777" w:rsidR="0056443A" w:rsidRPr="0056443A" w:rsidRDefault="0056443A" w:rsidP="0056443A">
      <w:pPr>
        <w:jc w:val="both"/>
        <w:rPr>
          <w:rFonts w:ascii="Arial" w:hAnsi="Arial" w:cs="Arial"/>
          <w:sz w:val="24"/>
          <w:szCs w:val="24"/>
        </w:rPr>
      </w:pPr>
    </w:p>
    <w:p w14:paraId="510B4C41"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d) requer a estipulação de penalidade à Ré, em face de eventuais e novos atos de ilícitos possessórios (NCPC, art. 555, inc. I);</w:t>
      </w:r>
    </w:p>
    <w:p w14:paraId="397941FD" w14:textId="77777777" w:rsidR="0056443A" w:rsidRPr="0056443A" w:rsidRDefault="0056443A" w:rsidP="0056443A">
      <w:pPr>
        <w:jc w:val="both"/>
        <w:rPr>
          <w:rFonts w:ascii="Arial" w:hAnsi="Arial" w:cs="Arial"/>
          <w:sz w:val="24"/>
          <w:szCs w:val="24"/>
        </w:rPr>
      </w:pPr>
    </w:p>
    <w:p w14:paraId="7BE561B8"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e) entende a Autora que o resultado da demanda prescinde de produção de provas, tendo em conta a prova documental colacionada aos autos. Todavia, ressalva a mesma que, caso esse não seja o entendimento de Vossa Excelência, protesta provar o alegado por todos os meios de prova em direitos admitidos, por mais especiais que sejam, sobretudo com a oitiva de testemunhas, perícia, depoimento pessoal </w:t>
      </w:r>
      <w:proofErr w:type="gramStart"/>
      <w:r w:rsidRPr="0056443A">
        <w:rPr>
          <w:rFonts w:ascii="Arial" w:hAnsi="Arial" w:cs="Arial"/>
          <w:sz w:val="24"/>
          <w:szCs w:val="24"/>
        </w:rPr>
        <w:t>do(</w:t>
      </w:r>
      <w:proofErr w:type="gramEnd"/>
      <w:r w:rsidRPr="0056443A">
        <w:rPr>
          <w:rFonts w:ascii="Arial" w:hAnsi="Arial" w:cs="Arial"/>
          <w:sz w:val="24"/>
          <w:szCs w:val="24"/>
        </w:rPr>
        <w:t>s) representante(s) legal(</w:t>
      </w:r>
      <w:proofErr w:type="spellStart"/>
      <w:r w:rsidRPr="0056443A">
        <w:rPr>
          <w:rFonts w:ascii="Arial" w:hAnsi="Arial" w:cs="Arial"/>
          <w:sz w:val="24"/>
          <w:szCs w:val="24"/>
        </w:rPr>
        <w:t>is</w:t>
      </w:r>
      <w:proofErr w:type="spellEnd"/>
      <w:r w:rsidRPr="0056443A">
        <w:rPr>
          <w:rFonts w:ascii="Arial" w:hAnsi="Arial" w:cs="Arial"/>
          <w:sz w:val="24"/>
          <w:szCs w:val="24"/>
        </w:rPr>
        <w:t>) da Ré, o que desde já requer, sob pena de confissão.</w:t>
      </w:r>
    </w:p>
    <w:p w14:paraId="29E2D5BE" w14:textId="77777777" w:rsidR="0056443A" w:rsidRPr="0056443A" w:rsidRDefault="0056443A" w:rsidP="0056443A">
      <w:pPr>
        <w:jc w:val="both"/>
        <w:rPr>
          <w:rFonts w:ascii="Arial" w:hAnsi="Arial" w:cs="Arial"/>
          <w:sz w:val="24"/>
          <w:szCs w:val="24"/>
        </w:rPr>
      </w:pPr>
    </w:p>
    <w:p w14:paraId="7E2EA446" w14:textId="77777777" w:rsidR="0056443A" w:rsidRPr="0056443A" w:rsidRDefault="0056443A" w:rsidP="0056443A">
      <w:pPr>
        <w:jc w:val="both"/>
        <w:rPr>
          <w:rFonts w:ascii="Arial" w:hAnsi="Arial" w:cs="Arial"/>
          <w:sz w:val="24"/>
          <w:szCs w:val="24"/>
        </w:rPr>
      </w:pPr>
    </w:p>
    <w:p w14:paraId="5E6111DB"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t xml:space="preserve">Concede-se à causa o valor de R$ 00.000,00 </w:t>
      </w:r>
      <w:proofErr w:type="gramStart"/>
      <w:r w:rsidRPr="0056443A">
        <w:rPr>
          <w:rFonts w:ascii="Arial" w:hAnsi="Arial" w:cs="Arial"/>
          <w:sz w:val="24"/>
          <w:szCs w:val="24"/>
        </w:rPr>
        <w:t>( .</w:t>
      </w:r>
      <w:proofErr w:type="spellStart"/>
      <w:proofErr w:type="gramEnd"/>
      <w:r w:rsidRPr="0056443A">
        <w:rPr>
          <w:rFonts w:ascii="Arial" w:hAnsi="Arial" w:cs="Arial"/>
          <w:sz w:val="24"/>
          <w:szCs w:val="24"/>
        </w:rPr>
        <w:t>x.x.x</w:t>
      </w:r>
      <w:proofErr w:type="spellEnd"/>
      <w:r w:rsidRPr="0056443A">
        <w:rPr>
          <w:rFonts w:ascii="Arial" w:hAnsi="Arial" w:cs="Arial"/>
          <w:sz w:val="24"/>
          <w:szCs w:val="24"/>
        </w:rPr>
        <w:t>. ), correspondente ao valor do imóvel em questão (NCPC, art. 292, inc. III).</w:t>
      </w:r>
    </w:p>
    <w:p w14:paraId="4CF6E549" w14:textId="77777777" w:rsidR="0056443A" w:rsidRPr="0056443A" w:rsidRDefault="0056443A" w:rsidP="0056443A">
      <w:pPr>
        <w:jc w:val="both"/>
        <w:rPr>
          <w:rFonts w:ascii="Arial" w:hAnsi="Arial" w:cs="Arial"/>
          <w:sz w:val="24"/>
          <w:szCs w:val="24"/>
        </w:rPr>
      </w:pPr>
    </w:p>
    <w:p w14:paraId="36C6FC7C"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w:t>
      </w:r>
      <w:r w:rsidRPr="0056443A">
        <w:rPr>
          <w:rFonts w:ascii="Arial" w:hAnsi="Arial" w:cs="Arial"/>
          <w:sz w:val="24"/>
          <w:szCs w:val="24"/>
        </w:rPr>
        <w:t>Respeitosamente, pede</w:t>
      </w:r>
      <w:r w:rsidRPr="0056443A">
        <w:rPr>
          <w:rFonts w:ascii="Arial" w:hAnsi="Arial" w:cs="Arial"/>
          <w:sz w:val="24"/>
          <w:szCs w:val="24"/>
        </w:rPr>
        <w:t xml:space="preserve"> deferimento.</w:t>
      </w:r>
    </w:p>
    <w:p w14:paraId="0AD0E828" w14:textId="77777777" w:rsidR="0056443A" w:rsidRPr="0056443A" w:rsidRDefault="0056443A" w:rsidP="0056443A">
      <w:pPr>
        <w:jc w:val="both"/>
        <w:rPr>
          <w:rFonts w:ascii="Arial" w:hAnsi="Arial" w:cs="Arial"/>
          <w:sz w:val="24"/>
          <w:szCs w:val="24"/>
        </w:rPr>
      </w:pPr>
    </w:p>
    <w:p w14:paraId="0B67087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 xml:space="preserve">Local... Data... </w:t>
      </w:r>
    </w:p>
    <w:p w14:paraId="0ABCB771" w14:textId="77777777" w:rsidR="0056443A" w:rsidRPr="0056443A" w:rsidRDefault="0056443A" w:rsidP="0056443A">
      <w:pPr>
        <w:jc w:val="both"/>
        <w:rPr>
          <w:rFonts w:ascii="Arial" w:hAnsi="Arial" w:cs="Arial"/>
          <w:sz w:val="24"/>
          <w:szCs w:val="24"/>
        </w:rPr>
      </w:pPr>
    </w:p>
    <w:p w14:paraId="04D62759"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r w:rsidRPr="0056443A">
        <w:rPr>
          <w:rFonts w:ascii="Arial" w:hAnsi="Arial" w:cs="Arial"/>
          <w:sz w:val="24"/>
          <w:szCs w:val="24"/>
        </w:rPr>
        <w:tab/>
      </w:r>
    </w:p>
    <w:p w14:paraId="26B024C6" w14:textId="77777777" w:rsidR="0056443A" w:rsidRPr="0056443A" w:rsidRDefault="0056443A" w:rsidP="0056443A">
      <w:pPr>
        <w:jc w:val="both"/>
        <w:rPr>
          <w:rFonts w:ascii="Arial" w:hAnsi="Arial" w:cs="Arial"/>
          <w:sz w:val="24"/>
          <w:szCs w:val="24"/>
        </w:rPr>
      </w:pPr>
      <w:r w:rsidRPr="0056443A">
        <w:rPr>
          <w:rFonts w:ascii="Arial" w:hAnsi="Arial" w:cs="Arial"/>
          <w:sz w:val="24"/>
          <w:szCs w:val="24"/>
        </w:rPr>
        <w:t xml:space="preserve">      Advogado - OAB</w:t>
      </w:r>
    </w:p>
    <w:p w14:paraId="4E7F968C" w14:textId="77777777" w:rsidR="0056443A" w:rsidRDefault="0056443A" w:rsidP="0056443A">
      <w:r>
        <w:t xml:space="preserve">       </w:t>
      </w:r>
    </w:p>
    <w:p w14:paraId="0FBF51CD" w14:textId="77777777" w:rsidR="0056443A" w:rsidRDefault="0056443A" w:rsidP="0056443A"/>
    <w:p w14:paraId="39B1F040" w14:textId="77777777" w:rsidR="002519C8" w:rsidRDefault="0056443A"/>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43A"/>
    <w:rsid w:val="002A4B8F"/>
    <w:rsid w:val="003F6E55"/>
    <w:rsid w:val="005644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F54B"/>
  <w15:chartTrackingRefBased/>
  <w15:docId w15:val="{C091B1B0-F411-4D70-A869-A6EA2629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3680</Words>
  <Characters>19872</Characters>
  <Application>Microsoft Office Word</Application>
  <DocSecurity>0</DocSecurity>
  <Lines>165</Lines>
  <Paragraphs>47</Paragraphs>
  <ScaleCrop>false</ScaleCrop>
  <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2016-06-11T17:56:00Z</dcterms:created>
  <dcterms:modified xsi:type="dcterms:W3CDTF">2016-06-11T17:57:00Z</dcterms:modified>
</cp:coreProperties>
</file>