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F748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RECURSO EXTRAORDINÁRIO</w:t>
      </w:r>
    </w:p>
    <w:p w14:paraId="550A7792" w14:textId="7A62CB7D" w:rsidR="00387A53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EXMO. SR. DR. PRESIDENTE DO EGRÉGIO TRIBUNAL DE JUSTIÇA DE (...).</w:t>
      </w:r>
    </w:p>
    <w:p w14:paraId="3B258182" w14:textId="6430A71D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987E2B2" w14:textId="7B11CCDE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4ED6558" w14:textId="5255D52F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E03B6C" w14:textId="525485C9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F9D4AE9" w14:textId="204F8CC9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6D8C114" w14:textId="77777777" w:rsidR="00D0458A" w:rsidRP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D9A03E5" w14:textId="6473EFBC" w:rsidR="00387A53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PROCESSO N. (...)</w:t>
      </w:r>
    </w:p>
    <w:p w14:paraId="4EC0E679" w14:textId="54B42807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70707B" w14:textId="704D6F1C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5AC7424" w14:textId="3206A9C5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4ABB99E" w14:textId="41C786C2" w:rsid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89A02A" w14:textId="77777777" w:rsidR="00D0458A" w:rsidRP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B5F7D9" w14:textId="16D16655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(...), já qualificado nos autos da ação </w:t>
      </w:r>
      <w:r w:rsidR="00D0458A">
        <w:rPr>
          <w:rFonts w:ascii="Arial" w:hAnsi="Arial" w:cs="Arial"/>
          <w:sz w:val="24"/>
          <w:szCs w:val="24"/>
        </w:rPr>
        <w:t xml:space="preserve">(...) que move em face de (...) </w:t>
      </w:r>
      <w:r w:rsidRPr="00D072A1">
        <w:rPr>
          <w:rFonts w:ascii="Arial" w:hAnsi="Arial" w:cs="Arial"/>
          <w:sz w:val="24"/>
          <w:szCs w:val="24"/>
        </w:rPr>
        <w:t>(ou que lhe move ...), vem, respeitosamente, perante Vossa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Excelência por seu advogado, com fundamento no artigo 102, III, “a”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(ou “b”, “c”) da Constituição Federal, não se conformando, data venia,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com o. v. acórdão da (...) Câmara que decidiu o recurso de apelação,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vem, respeitosamente, interpor o presente</w:t>
      </w:r>
    </w:p>
    <w:p w14:paraId="7A4F8A61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01BB86" w14:textId="4531B98D" w:rsidR="00387A53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RECURSO ESPECIAL COM PEDIDO DE EFEITO SUSPENSIVO (CPC, ART. 1.029, § 5º)</w:t>
      </w:r>
    </w:p>
    <w:p w14:paraId="1FA82E0A" w14:textId="77777777" w:rsidR="00D0458A" w:rsidRPr="00D0458A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7411D5" w14:textId="5D977281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o que faz tempestivamente, exibind</w:t>
      </w:r>
      <w:r w:rsidR="00D0458A">
        <w:rPr>
          <w:rFonts w:ascii="Arial" w:hAnsi="Arial" w:cs="Arial"/>
          <w:sz w:val="24"/>
          <w:szCs w:val="24"/>
        </w:rPr>
        <w:t xml:space="preserve">o, desde logo, o comprovante do </w:t>
      </w:r>
      <w:r w:rsidRPr="00D072A1">
        <w:rPr>
          <w:rFonts w:ascii="Arial" w:hAnsi="Arial" w:cs="Arial"/>
          <w:sz w:val="24"/>
          <w:szCs w:val="24"/>
        </w:rPr>
        <w:t>pagamento do preparo (documento 1), o que faz com supedâneo no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art. 1.029 e seguintes do Código de Processo Civil, pelos fatos e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razões a seguir expostos:</w:t>
      </w:r>
    </w:p>
    <w:p w14:paraId="1610A06C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DCBCA6" w14:textId="7F4722CD" w:rsidR="00387A53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I – PRESSUPOSTOS ADMISSIBILIDADE DO RECURSO EXTREMO</w:t>
      </w:r>
    </w:p>
    <w:p w14:paraId="670F0988" w14:textId="77777777" w:rsidR="00D0458A" w:rsidRP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7BDB5B7" w14:textId="0B9FC1BE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a) Pressupostos extrínsecos </w:t>
      </w:r>
      <w:r w:rsidR="00D0458A">
        <w:rPr>
          <w:rFonts w:ascii="Arial" w:hAnsi="Arial" w:cs="Arial"/>
          <w:sz w:val="24"/>
          <w:szCs w:val="24"/>
        </w:rPr>
        <w:t xml:space="preserve">– tempestividade e legitimidade </w:t>
      </w:r>
      <w:r w:rsidRPr="00D072A1">
        <w:rPr>
          <w:rFonts w:ascii="Arial" w:hAnsi="Arial" w:cs="Arial"/>
          <w:sz w:val="24"/>
          <w:szCs w:val="24"/>
        </w:rPr>
        <w:t>O vertente recurso é tempestivo na exata medida em que 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publicação do v. acórdão ora recorrido se deu em (...).</w:t>
      </w:r>
    </w:p>
    <w:p w14:paraId="523C74BE" w14:textId="49782F0C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lastRenderedPageBreak/>
        <w:t>Posta assim a questão, a contagem do prazo teve início em (...), e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se encerrará no dia (...).</w:t>
      </w:r>
    </w:p>
    <w:p w14:paraId="21608846" w14:textId="7D38B7CF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Outrossim, consta dos autos que </w:t>
      </w:r>
      <w:r w:rsidR="00D0458A">
        <w:rPr>
          <w:rFonts w:ascii="Arial" w:hAnsi="Arial" w:cs="Arial"/>
          <w:sz w:val="24"/>
          <w:szCs w:val="24"/>
        </w:rPr>
        <w:t xml:space="preserve">as partes são legítimas e estão </w:t>
      </w:r>
      <w:r w:rsidRPr="00D072A1">
        <w:rPr>
          <w:rFonts w:ascii="Arial" w:hAnsi="Arial" w:cs="Arial"/>
          <w:sz w:val="24"/>
          <w:szCs w:val="24"/>
        </w:rPr>
        <w:t>devidamente representadas.</w:t>
      </w:r>
    </w:p>
    <w:p w14:paraId="564A9E4E" w14:textId="5FF5B83A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Destarte, estão preenchidos</w:t>
      </w:r>
      <w:r w:rsidR="00D0458A">
        <w:rPr>
          <w:rFonts w:ascii="Arial" w:hAnsi="Arial" w:cs="Arial"/>
          <w:sz w:val="24"/>
          <w:szCs w:val="24"/>
        </w:rPr>
        <w:t xml:space="preserve"> os pressupostos extrínsecos de </w:t>
      </w:r>
      <w:r w:rsidRPr="00D072A1">
        <w:rPr>
          <w:rFonts w:ascii="Arial" w:hAnsi="Arial" w:cs="Arial"/>
          <w:sz w:val="24"/>
          <w:szCs w:val="24"/>
        </w:rPr>
        <w:t>admissibilidade do recurso ora interposto.</w:t>
      </w:r>
    </w:p>
    <w:p w14:paraId="07A7EFCE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b) Pressupostos intrínsecos</w:t>
      </w:r>
    </w:p>
    <w:p w14:paraId="403447C1" w14:textId="11879A62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Estão presentes o interesse recur</w:t>
      </w:r>
      <w:r w:rsidR="00D0458A">
        <w:rPr>
          <w:rFonts w:ascii="Arial" w:hAnsi="Arial" w:cs="Arial"/>
          <w:sz w:val="24"/>
          <w:szCs w:val="24"/>
        </w:rPr>
        <w:t xml:space="preserve">sal e, bem assim, a utilidade e </w:t>
      </w:r>
      <w:r w:rsidRPr="00D072A1">
        <w:rPr>
          <w:rFonts w:ascii="Arial" w:hAnsi="Arial" w:cs="Arial"/>
          <w:sz w:val="24"/>
          <w:szCs w:val="24"/>
        </w:rPr>
        <w:t>necessidade do presente recurso extraordinário.</w:t>
      </w:r>
    </w:p>
    <w:p w14:paraId="2206637C" w14:textId="09DF828C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Em relação ao cabimento do recurs</w:t>
      </w:r>
      <w:r w:rsidR="00D0458A">
        <w:rPr>
          <w:rFonts w:ascii="Arial" w:hAnsi="Arial" w:cs="Arial"/>
          <w:sz w:val="24"/>
          <w:szCs w:val="24"/>
        </w:rPr>
        <w:t xml:space="preserve">o, as decisões anteriores ao v. </w:t>
      </w:r>
      <w:r w:rsidRPr="00D072A1">
        <w:rPr>
          <w:rFonts w:ascii="Arial" w:hAnsi="Arial" w:cs="Arial"/>
          <w:sz w:val="24"/>
          <w:szCs w:val="24"/>
        </w:rPr>
        <w:t>acórdão recorrido e o próprio acórdão em questão, se submetem ao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disposto no artigo 102, III, alínea “a” (ou “b”, “c”, “d”) da Constituição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Federal, o que se afirma na exata medida em que resta violado 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artigo (...) da Constituição Federal.</w:t>
      </w:r>
    </w:p>
    <w:p w14:paraId="6A234BBC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c) Repercussão geral</w:t>
      </w:r>
    </w:p>
    <w:p w14:paraId="2F873A45" w14:textId="193072FF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Em respeito ao disposto na Lei 11.418, </w:t>
      </w:r>
      <w:r w:rsidR="00D0458A">
        <w:rPr>
          <w:rFonts w:ascii="Arial" w:hAnsi="Arial" w:cs="Arial"/>
          <w:sz w:val="24"/>
          <w:szCs w:val="24"/>
        </w:rPr>
        <w:t xml:space="preserve">de 19 de dezembro de 2006, </w:t>
      </w:r>
      <w:r w:rsidRPr="00D072A1">
        <w:rPr>
          <w:rFonts w:ascii="Arial" w:hAnsi="Arial" w:cs="Arial"/>
          <w:sz w:val="24"/>
          <w:szCs w:val="24"/>
        </w:rPr>
        <w:t>que inseriu o art. 543-A no CPC/1973 agora espelhado no art. 1.035 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Código de Processo Civil.</w:t>
      </w:r>
    </w:p>
    <w:p w14:paraId="76BBE7CE" w14:textId="69E84865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Sendo assim, o recorrente demon</w:t>
      </w:r>
      <w:r w:rsidR="00D0458A">
        <w:rPr>
          <w:rFonts w:ascii="Arial" w:hAnsi="Arial" w:cs="Arial"/>
          <w:sz w:val="24"/>
          <w:szCs w:val="24"/>
        </w:rPr>
        <w:t xml:space="preserve">strará que, à toda evidência, a </w:t>
      </w:r>
      <w:r w:rsidRPr="00D072A1">
        <w:rPr>
          <w:rFonts w:ascii="Arial" w:hAnsi="Arial" w:cs="Arial"/>
          <w:sz w:val="24"/>
          <w:szCs w:val="24"/>
        </w:rPr>
        <w:t>questão discutida nos autos possui repercussão geral apta a ensejar 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admissibilidade do apelo extraordinário por esse colendo Supremo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Tribunal Federal.</w:t>
      </w:r>
    </w:p>
    <w:p w14:paraId="1B829ACF" w14:textId="5EE5A930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Com efeito, é possível afirmar qu</w:t>
      </w:r>
      <w:r w:rsidR="00D0458A">
        <w:rPr>
          <w:rFonts w:ascii="Arial" w:hAnsi="Arial" w:cs="Arial"/>
          <w:sz w:val="24"/>
          <w:szCs w:val="24"/>
        </w:rPr>
        <w:t xml:space="preserve">e conta com repercussão geral a </w:t>
      </w:r>
      <w:r w:rsidRPr="00D072A1">
        <w:rPr>
          <w:rFonts w:ascii="Arial" w:hAnsi="Arial" w:cs="Arial"/>
          <w:sz w:val="24"/>
          <w:szCs w:val="24"/>
        </w:rPr>
        <w:t>matéria que representa transcendência em relação ao direito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vindicado individualmente, ou seja, a matéria relevante, de ordem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pública e interesse social relevante e que transcende o interesse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subjetivo das partes na solução da controvérsia.</w:t>
      </w:r>
    </w:p>
    <w:p w14:paraId="7C79C14D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No glossário do Supremo Tribunal Federal</w:t>
      </w:r>
    </w:p>
    <w:p w14:paraId="65F99976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“A Repercussão Geral é um instrumento processual inserido na</w:t>
      </w:r>
    </w:p>
    <w:p w14:paraId="0CD0B354" w14:textId="286961CC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Constituição Federal de 1988, por me</w:t>
      </w:r>
      <w:r w:rsidR="00D0458A">
        <w:rPr>
          <w:rFonts w:ascii="Arial" w:hAnsi="Arial" w:cs="Arial"/>
          <w:sz w:val="24"/>
          <w:szCs w:val="24"/>
        </w:rPr>
        <w:t xml:space="preserve">io da Emenda Constitucional 45, </w:t>
      </w:r>
      <w:r w:rsidRPr="00D072A1">
        <w:rPr>
          <w:rFonts w:ascii="Arial" w:hAnsi="Arial" w:cs="Arial"/>
          <w:sz w:val="24"/>
          <w:szCs w:val="24"/>
        </w:rPr>
        <w:t>conhecida como a ‘Reforma do Judiciário’. O objetivo desta ferramenta é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possibilitar que o Supremo Tribunal Federal selecione os Recursos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Extraordinários que irá analisar, de acordo com critérios de relevância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jurídica, política, social ou econômica. O uso desse filtro recursal resulta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numa diminuição do número de processos encaminhados à Suprema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Corte. Uma vez constatada a existência de repercussão geral, o STF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 xml:space="preserve">analisa o mérito da questão e a decisão </w:t>
      </w:r>
      <w:r w:rsidRPr="00D072A1">
        <w:rPr>
          <w:rFonts w:ascii="Arial" w:hAnsi="Arial" w:cs="Arial"/>
          <w:sz w:val="24"/>
          <w:szCs w:val="24"/>
        </w:rPr>
        <w:lastRenderedPageBreak/>
        <w:t>proveniente dessa análise será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aplicada posteriormente pelas instâncias inferiores, em casos idênticos.</w:t>
      </w:r>
    </w:p>
    <w:p w14:paraId="620FA766" w14:textId="22AC5B87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A preliminar de Repercussão Geral é </w:t>
      </w:r>
      <w:r w:rsidR="00D0458A">
        <w:rPr>
          <w:rFonts w:ascii="Arial" w:hAnsi="Arial" w:cs="Arial"/>
          <w:sz w:val="24"/>
          <w:szCs w:val="24"/>
        </w:rPr>
        <w:t xml:space="preserve">analisada pelo Plenário do STF, </w:t>
      </w:r>
      <w:r w:rsidRPr="00D072A1">
        <w:rPr>
          <w:rFonts w:ascii="Arial" w:hAnsi="Arial" w:cs="Arial"/>
          <w:sz w:val="24"/>
          <w:szCs w:val="24"/>
        </w:rPr>
        <w:t>através de um sistema informatizado, com votação eletrônica, ou seja,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sem necessidade de reunião física dos membros do Tribunal. Para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recusar a análise de um RE são necessários pelo menos 8 votos, caso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contrário, o tema deverá ser julgado pela Corte. Após o relator do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recurso lançar no sistema sua manifestação sobre a relevância do tema,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os demais ministros têm 20 dias para votar. As abstenções nessa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votação são consideradas como favoráveis à ocorrência de repercussão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geral na matéria”.</w:t>
      </w:r>
    </w:p>
    <w:p w14:paraId="4B1C0CEB" w14:textId="06906D89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José Rogério Cruz e Tucci </w:t>
      </w:r>
      <w:r w:rsidR="00D0458A">
        <w:rPr>
          <w:rFonts w:ascii="Arial" w:hAnsi="Arial" w:cs="Arial"/>
          <w:sz w:val="24"/>
          <w:szCs w:val="24"/>
        </w:rPr>
        <w:t xml:space="preserve">sustentam que repercussão geral </w:t>
      </w:r>
      <w:r w:rsidRPr="00D072A1">
        <w:rPr>
          <w:rFonts w:ascii="Arial" w:hAnsi="Arial" w:cs="Arial"/>
          <w:sz w:val="24"/>
          <w:szCs w:val="24"/>
        </w:rPr>
        <w:t>representa</w:t>
      </w:r>
    </w:p>
    <w:p w14:paraId="407DEF47" w14:textId="2F6005F8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“a existência ou não, no thema deciden</w:t>
      </w:r>
      <w:r w:rsidR="00D0458A">
        <w:rPr>
          <w:rFonts w:ascii="Arial" w:hAnsi="Arial" w:cs="Arial"/>
          <w:sz w:val="24"/>
          <w:szCs w:val="24"/>
        </w:rPr>
        <w:t xml:space="preserve">dum, de questões relevantes sob </w:t>
      </w:r>
      <w:r w:rsidRPr="00D072A1">
        <w:rPr>
          <w:rFonts w:ascii="Arial" w:hAnsi="Arial" w:cs="Arial"/>
          <w:sz w:val="24"/>
          <w:szCs w:val="24"/>
        </w:rPr>
        <w:t>a ótica econômica, política, social ou jurídica, que suplantem o interesse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individual dos litigantes.” (Anotações sobre a repercussão geral como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pressuposto de admissibilidade do recurso extraordinário . Disponível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em: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&lt;http://www.oab.org.br/editora/revista/users/revista/1211289535174218181901.pdf</w:t>
      </w:r>
    </w:p>
    <w:p w14:paraId="3A51520E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Conclui Cruz e Tucci:</w:t>
      </w:r>
    </w:p>
    <w:p w14:paraId="0DFBCB01" w14:textId="325A71B1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“Andou bem o legislador não enumera</w:t>
      </w:r>
      <w:r w:rsidR="00D0458A">
        <w:rPr>
          <w:rFonts w:ascii="Arial" w:hAnsi="Arial" w:cs="Arial"/>
          <w:sz w:val="24"/>
          <w:szCs w:val="24"/>
        </w:rPr>
        <w:t xml:space="preserve">ndo as hipóteses que possam ter </w:t>
      </w:r>
      <w:r w:rsidRPr="00D072A1">
        <w:rPr>
          <w:rFonts w:ascii="Arial" w:hAnsi="Arial" w:cs="Arial"/>
          <w:sz w:val="24"/>
          <w:szCs w:val="24"/>
        </w:rPr>
        <w:t>tal expressiva dimensão, porque o referido preceito constitucional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estabeleceu um ‘conceito jurídico indeterminado’ (como tantos outros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previstos em nosso ordenamento jurídico), que atribui ao julgador 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incumbência de aplicá-lo diante dos aspectos particulares do caso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analisado”.</w:t>
      </w:r>
    </w:p>
    <w:p w14:paraId="0FA79E3D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É exatamente o caso do presente recurso, no qual (...)</w:t>
      </w:r>
    </w:p>
    <w:p w14:paraId="624329CB" w14:textId="6FBC935F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Ex positis, tendo em vista que a v</w:t>
      </w:r>
      <w:r w:rsidR="00D0458A">
        <w:rPr>
          <w:rFonts w:ascii="Arial" w:hAnsi="Arial" w:cs="Arial"/>
          <w:sz w:val="24"/>
          <w:szCs w:val="24"/>
        </w:rPr>
        <w:t xml:space="preserve">iolação constitucional apontada </w:t>
      </w:r>
      <w:r w:rsidRPr="00D072A1">
        <w:rPr>
          <w:rFonts w:ascii="Arial" w:hAnsi="Arial" w:cs="Arial"/>
          <w:sz w:val="24"/>
          <w:szCs w:val="24"/>
        </w:rPr>
        <w:t>como fundamento do presente recurso transcende o direito subjetivo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das partes, demonstrada, portanto, a repercussão geral no caso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concreto, o presente Recurso Extraordinário merece ser conhecido.</w:t>
      </w:r>
    </w:p>
    <w:p w14:paraId="306EA956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C2B281" w14:textId="6F7F45B5" w:rsidR="00387A53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II – SÍNTESE DO PROCESSO E DO DIREITO VINDICADO – FATOS E DIREITO (FAZER UMA SÍNTESE DO PROCESSO AUTOS, DANDO ÊNFASE À VIOLAÇÃO CONSTITUCIONAL QUE POSSUI O CONDÃO DE REVERTER O ACÓRDÃO RECORRIDO)</w:t>
      </w:r>
    </w:p>
    <w:p w14:paraId="00A22B31" w14:textId="77777777" w:rsidR="00D0458A" w:rsidRPr="00D0458A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74D4E58" w14:textId="1B35DBBA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lastRenderedPageBreak/>
        <w:t xml:space="preserve">Em razão do exposto, o </w:t>
      </w:r>
      <w:r w:rsidR="00D0458A">
        <w:rPr>
          <w:rFonts w:ascii="Arial" w:hAnsi="Arial" w:cs="Arial"/>
          <w:sz w:val="24"/>
          <w:szCs w:val="24"/>
        </w:rPr>
        <w:t xml:space="preserve">presente recurso extremo merece </w:t>
      </w:r>
      <w:r w:rsidRPr="00D072A1">
        <w:rPr>
          <w:rFonts w:ascii="Arial" w:hAnsi="Arial" w:cs="Arial"/>
          <w:sz w:val="24"/>
          <w:szCs w:val="24"/>
        </w:rPr>
        <w:t>conhecimento e provimento, o que se espera dos Eminentes Ministros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sobre os quais recairá a decisão sobre tão relevante questão.</w:t>
      </w:r>
    </w:p>
    <w:p w14:paraId="7C3B1E4C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C359E3" w14:textId="000CD473" w:rsidR="00387A53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III – VIOLAÇÃO DO ART. (...) DA CONSTITUIÇÃO FEDERAL</w:t>
      </w:r>
    </w:p>
    <w:p w14:paraId="073F0098" w14:textId="77777777" w:rsidR="00D0458A" w:rsidRP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ACEC1D" w14:textId="7C3A5542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(Demonstrar a violação</w:t>
      </w:r>
      <w:r w:rsidR="00D0458A">
        <w:rPr>
          <w:rFonts w:ascii="Arial" w:hAnsi="Arial" w:cs="Arial"/>
          <w:sz w:val="24"/>
          <w:szCs w:val="24"/>
        </w:rPr>
        <w:t xml:space="preserve"> do dispositivo constitucional, </w:t>
      </w:r>
      <w:r w:rsidRPr="00D072A1">
        <w:rPr>
          <w:rFonts w:ascii="Arial" w:hAnsi="Arial" w:cs="Arial"/>
          <w:sz w:val="24"/>
          <w:szCs w:val="24"/>
        </w:rPr>
        <w:t>fundamentando as razões)</w:t>
      </w:r>
    </w:p>
    <w:p w14:paraId="64E5C63A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EAF280" w14:textId="5AC74CA5" w:rsidR="00387A53" w:rsidRP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IV – PEDIDO DE EFEITO SUSPENSIVO</w:t>
      </w:r>
    </w:p>
    <w:p w14:paraId="74A88A41" w14:textId="77777777" w:rsidR="00D0458A" w:rsidRPr="00D072A1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97D05D" w14:textId="734A673D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Nos termos do § 5º do art. 1.0</w:t>
      </w:r>
      <w:r w:rsidR="00D0458A">
        <w:rPr>
          <w:rFonts w:ascii="Arial" w:hAnsi="Arial" w:cs="Arial"/>
          <w:sz w:val="24"/>
          <w:szCs w:val="24"/>
        </w:rPr>
        <w:t xml:space="preserve">29 do Código de Processo Civil: </w:t>
      </w:r>
      <w:r w:rsidRPr="00D072A1">
        <w:rPr>
          <w:rFonts w:ascii="Arial" w:hAnsi="Arial" w:cs="Arial"/>
          <w:sz w:val="24"/>
          <w:szCs w:val="24"/>
        </w:rPr>
        <w:t>“§ 5º O pedido de concessão de efeito suspensivo a recurso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extraordinário ou a recurso especial poderá ser formulado por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requerimento dirigido:</w:t>
      </w:r>
    </w:p>
    <w:p w14:paraId="6F2661FF" w14:textId="0229F9E2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I – ao tribunal superior respectivo, </w:t>
      </w:r>
      <w:r w:rsidR="00D0458A">
        <w:rPr>
          <w:rFonts w:ascii="Arial" w:hAnsi="Arial" w:cs="Arial"/>
          <w:sz w:val="24"/>
          <w:szCs w:val="24"/>
        </w:rPr>
        <w:t xml:space="preserve">no período compreendido entre a </w:t>
      </w:r>
      <w:r w:rsidRPr="00D072A1">
        <w:rPr>
          <w:rFonts w:ascii="Arial" w:hAnsi="Arial" w:cs="Arial"/>
          <w:sz w:val="24"/>
          <w:szCs w:val="24"/>
        </w:rPr>
        <w:t>interposição do recurso e sua distribuição, ficando o relator designado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para seu exame prevento para julgá-lo;</w:t>
      </w:r>
    </w:p>
    <w:p w14:paraId="2E8A5771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II – ao relator, se já distribuído o recurso;</w:t>
      </w:r>
    </w:p>
    <w:p w14:paraId="7639771E" w14:textId="3D82842F" w:rsidR="00387A53" w:rsidRPr="00D072A1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 xml:space="preserve">III – ao presidente ou vice-presidente </w:t>
      </w:r>
      <w:r w:rsidR="00D0458A">
        <w:rPr>
          <w:rFonts w:ascii="Arial" w:hAnsi="Arial" w:cs="Arial"/>
          <w:sz w:val="24"/>
          <w:szCs w:val="24"/>
        </w:rPr>
        <w:t xml:space="preserve">do tribunal local, no caso de o </w:t>
      </w:r>
      <w:r w:rsidRPr="00D072A1">
        <w:rPr>
          <w:rFonts w:ascii="Arial" w:hAnsi="Arial" w:cs="Arial"/>
          <w:sz w:val="24"/>
          <w:szCs w:val="24"/>
        </w:rPr>
        <w:t>recurso ter sido sobrestado, nos termos do art. 1.037.”</w:t>
      </w:r>
    </w:p>
    <w:p w14:paraId="22A25564" w14:textId="4F85F2FD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Posta assim a questão, tendo em vi</w:t>
      </w:r>
      <w:r w:rsidR="00D0458A">
        <w:rPr>
          <w:rFonts w:ascii="Arial" w:hAnsi="Arial" w:cs="Arial"/>
          <w:sz w:val="24"/>
          <w:szCs w:val="24"/>
        </w:rPr>
        <w:t xml:space="preserve">sta a iminência de (...), o que </w:t>
      </w:r>
      <w:r w:rsidRPr="00D072A1">
        <w:rPr>
          <w:rFonts w:ascii="Arial" w:hAnsi="Arial" w:cs="Arial"/>
          <w:sz w:val="24"/>
          <w:szCs w:val="24"/>
        </w:rPr>
        <w:t>pode gerar prejuízos de difícil reparação, requer-se de Vossa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Excelência a concessão de efeito suspensivo ao presente recurso,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suspendendo o processo na origem até ulterior decisão no bojo da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vertente irresignação.</w:t>
      </w:r>
    </w:p>
    <w:p w14:paraId="60C7B145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B2A8C8" w14:textId="67073AAC" w:rsidR="00387A53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V – PEDIDO</w:t>
      </w:r>
    </w:p>
    <w:p w14:paraId="1B62B5C6" w14:textId="77777777" w:rsidR="00D0458A" w:rsidRP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F94082" w14:textId="606F6403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Em razão de tudo quanto foi exposto, r</w:t>
      </w:r>
      <w:r w:rsidR="00D0458A">
        <w:rPr>
          <w:rFonts w:ascii="Arial" w:hAnsi="Arial" w:cs="Arial"/>
          <w:sz w:val="24"/>
          <w:szCs w:val="24"/>
        </w:rPr>
        <w:t xml:space="preserve">equer seja admitido e provido </w:t>
      </w:r>
      <w:r w:rsidRPr="00D072A1">
        <w:rPr>
          <w:rFonts w:ascii="Arial" w:hAnsi="Arial" w:cs="Arial"/>
          <w:sz w:val="24"/>
          <w:szCs w:val="24"/>
        </w:rPr>
        <w:t>o presente Recurso Extraordinário para (...), invertendo-se os ônus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sucumbenciais.</w:t>
      </w:r>
    </w:p>
    <w:p w14:paraId="2C5CB4A3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2C9EF4" w14:textId="4842DF02" w:rsidR="00387A53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458A">
        <w:rPr>
          <w:rFonts w:ascii="Arial" w:hAnsi="Arial" w:cs="Arial"/>
          <w:b/>
          <w:sz w:val="24"/>
          <w:szCs w:val="24"/>
        </w:rPr>
        <w:t>VI – REQUERIMENTOS FINAIS AO TRIBUNAL DE ORIGEM</w:t>
      </w:r>
    </w:p>
    <w:p w14:paraId="487229CA" w14:textId="77777777" w:rsidR="00D0458A" w:rsidRPr="00D0458A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5ABE53" w14:textId="63E731E1" w:rsidR="00387A53" w:rsidRDefault="00387A53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lastRenderedPageBreak/>
        <w:t>Requer-se a intimação do recorrido, para que responda, querendo,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no prazo de 15 dias, após esta manifestação de inconformismo ser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recebida e protocolizada na secretaria deste Tribunal de origem (CPC,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art. 1.030); findo esse prazo com ou sem contrarrazões, sejam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remetidos incontinenti ao Supremo Tribunal Federal, cumpridas as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necessárias formalidades legais, para provimento como medida de</w:t>
      </w:r>
      <w:r w:rsidR="00D0458A">
        <w:rPr>
          <w:rFonts w:ascii="Arial" w:hAnsi="Arial" w:cs="Arial"/>
          <w:sz w:val="24"/>
          <w:szCs w:val="24"/>
        </w:rPr>
        <w:t xml:space="preserve"> </w:t>
      </w:r>
      <w:r w:rsidRPr="00D072A1">
        <w:rPr>
          <w:rFonts w:ascii="Arial" w:hAnsi="Arial" w:cs="Arial"/>
          <w:sz w:val="24"/>
          <w:szCs w:val="24"/>
        </w:rPr>
        <w:t>inteira justiça.</w:t>
      </w:r>
    </w:p>
    <w:p w14:paraId="37715EC4" w14:textId="77777777" w:rsidR="00D0458A" w:rsidRPr="00D072A1" w:rsidRDefault="00D0458A" w:rsidP="00D04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442D12" w14:textId="77777777" w:rsidR="00387A53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Termos em que,</w:t>
      </w:r>
    </w:p>
    <w:p w14:paraId="47821136" w14:textId="4C5C03D9" w:rsidR="00387A53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Pede deferimento,</w:t>
      </w:r>
    </w:p>
    <w:p w14:paraId="010C6FAE" w14:textId="77777777" w:rsidR="00D0458A" w:rsidRPr="00D072A1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DB2041" w14:textId="1C44E334" w:rsidR="00387A53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Data</w:t>
      </w:r>
    </w:p>
    <w:p w14:paraId="19CD12D1" w14:textId="77777777" w:rsidR="00D0458A" w:rsidRPr="00D072A1" w:rsidRDefault="00D0458A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713D12" w14:textId="77777777" w:rsidR="002519C8" w:rsidRPr="00D072A1" w:rsidRDefault="00387A53" w:rsidP="00D072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A1">
        <w:rPr>
          <w:rFonts w:ascii="Arial" w:hAnsi="Arial" w:cs="Arial"/>
          <w:sz w:val="24"/>
          <w:szCs w:val="24"/>
        </w:rPr>
        <w:t>Advogado (OAB)</w:t>
      </w:r>
      <w:r w:rsidRPr="00D072A1">
        <w:rPr>
          <w:rFonts w:ascii="Arial" w:hAnsi="Arial" w:cs="Arial"/>
          <w:sz w:val="24"/>
          <w:szCs w:val="24"/>
        </w:rPr>
        <w:t xml:space="preserve"> </w:t>
      </w:r>
    </w:p>
    <w:sectPr w:rsidR="002519C8" w:rsidRPr="00D07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3"/>
    <w:rsid w:val="002A4B8F"/>
    <w:rsid w:val="00387A53"/>
    <w:rsid w:val="003F6E55"/>
    <w:rsid w:val="00D0458A"/>
    <w:rsid w:val="00D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515E"/>
  <w15:chartTrackingRefBased/>
  <w15:docId w15:val="{89F59267-D1C3-4B16-8CDF-71A4BF0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2016-06-10T01:37:00Z</dcterms:created>
  <dcterms:modified xsi:type="dcterms:W3CDTF">2016-06-10T03:01:00Z</dcterms:modified>
</cp:coreProperties>
</file>